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C550" w14:textId="0144C30F" w:rsidR="000817B6" w:rsidRDefault="000817B6" w:rsidP="000817B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4"/>
          <w:szCs w:val="24"/>
        </w:rPr>
      </w:pPr>
      <w:r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Answer to Reviewers, 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2021-01-21 11:48 AM</w:t>
      </w:r>
    </w:p>
    <w:p w14:paraId="140A2948" w14:textId="77777777" w:rsidR="000817B6" w:rsidRDefault="000817B6" w:rsidP="000817B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4"/>
          <w:szCs w:val="24"/>
        </w:rPr>
      </w:pPr>
    </w:p>
    <w:p w14:paraId="114FDA87" w14:textId="39CD4CDA" w:rsidR="000817B6" w:rsidRDefault="000817B6" w:rsidP="000817B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4"/>
          <w:szCs w:val="24"/>
        </w:rPr>
      </w:pP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Subject: Improving the viability and stability of a probiotic product with Saccharomyces 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boulardii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DBVPG</w:t>
      </w:r>
    </w:p>
    <w:p w14:paraId="4CD517CB" w14:textId="77777777" w:rsidR="000817B6" w:rsidRPr="000817B6" w:rsidRDefault="000817B6" w:rsidP="000817B6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color w:val="333333"/>
          <w:sz w:val="24"/>
          <w:szCs w:val="24"/>
        </w:rPr>
      </w:pPr>
    </w:p>
    <w:p w14:paraId="3F7F3799" w14:textId="77777777" w:rsidR="000817B6" w:rsidRPr="000817B6" w:rsidRDefault="000817B6" w:rsidP="000817B6">
      <w:pPr>
        <w:shd w:val="clear" w:color="auto" w:fill="FFFFFF"/>
        <w:spacing w:after="75" w:line="240" w:lineRule="auto"/>
        <w:rPr>
          <w:rFonts w:ascii="Cambria Math" w:eastAsia="Times New Roman" w:hAnsi="Cambria Math" w:cs="Times New Roman"/>
          <w:color w:val="333333"/>
          <w:sz w:val="24"/>
          <w:szCs w:val="24"/>
        </w:rPr>
      </w:pP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Dear Reviewers,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Please find the corrected manuscript on the portal, according to the presented corrections. Revisions are clearly visible and marked in red.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The following data was changed, as advised: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Lines 59 and 72: the term viability is defined differently in these two sentences? - one definition was removed, the correct definition was left.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 89: The sentence: This strain was chosen… should be moved in the Introduction section - this sentence was moved in the introduction section.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 xml:space="preserve">Line 90: the excipients should be specified, 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i.e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producers names should be given - producer names were placed inside the text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 xml:space="preserve">Line 113: Title: 2. Production of… should be subtitle in Materials and methods section, 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ie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numbered as 2.3, as well as title 4. Counting viable… should be numbered as 2.4 - we have changed the numbering as suggested.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Figure 1: In the third green hexagon word ,,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folija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’’ is excess - the word 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folija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was removed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 172: The sentence: The content was determined … should be rewritten - the whole sentence was rewritten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 176: The sentence: The content was analyzed… should be delete, it is already mentioned two sentences earlier - the excess sentence was deleted.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 180: Figure caption should be rewritten, like: Results of probiotic yeast cells number determination… - figure caption was rewritten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 191: The sentence: ,,The combination of PVC/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PVdC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/PE and 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aluminium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foil in blisters provides better protection of yeast cells than…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Line 196: ,,protected’’ instead of ,,protection’’ - we have changed the term protection to protected, as advised.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Kind regards,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Authors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________________________________________________________________________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Hemijska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</w:t>
      </w:r>
      <w:proofErr w:type="spellStart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>Industrija</w:t>
      </w:r>
      <w:proofErr w:type="spellEnd"/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t xml:space="preserve"> : : Chemical Industry</w:t>
      </w:r>
      <w:r w:rsidRPr="000817B6">
        <w:rPr>
          <w:rFonts w:ascii="Cambria Math" w:eastAsia="Times New Roman" w:hAnsi="Cambria Math" w:cs="Times New Roman"/>
          <w:color w:val="333333"/>
          <w:sz w:val="24"/>
          <w:szCs w:val="24"/>
        </w:rPr>
        <w:br/>
        <w:t>http://www.ache-pub.org.rs/index.php/HemInd</w:t>
      </w:r>
    </w:p>
    <w:p w14:paraId="7B622687" w14:textId="77777777" w:rsidR="000817B6" w:rsidRPr="000817B6" w:rsidRDefault="000817B6">
      <w:pPr>
        <w:rPr>
          <w:rFonts w:ascii="Cambria Math" w:hAnsi="Cambria Math"/>
          <w:sz w:val="24"/>
          <w:szCs w:val="24"/>
        </w:rPr>
      </w:pPr>
    </w:p>
    <w:sectPr w:rsidR="000817B6" w:rsidRPr="000817B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B6"/>
    <w:rsid w:val="000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6980"/>
  <w15:chartTrackingRefBased/>
  <w15:docId w15:val="{433E25EA-5F89-4B7B-9A0B-E97D623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1995841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Mitic</dc:creator>
  <cp:keywords/>
  <dc:description/>
  <cp:lastModifiedBy>Bogdan Mitic</cp:lastModifiedBy>
  <cp:revision>1</cp:revision>
  <dcterms:created xsi:type="dcterms:W3CDTF">2021-01-21T10:52:00Z</dcterms:created>
  <dcterms:modified xsi:type="dcterms:W3CDTF">2021-01-21T10:53:00Z</dcterms:modified>
</cp:coreProperties>
</file>