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ECA" w:rsidRDefault="009F5CE7" w:rsidP="009F5CE7">
      <w:pPr>
        <w:jc w:val="center"/>
      </w:pPr>
      <w:r>
        <w:rPr>
          <w:noProof/>
        </w:rPr>
        <w:drawing>
          <wp:inline distT="0" distB="0" distL="0" distR="0" wp14:anchorId="1C1A0381" wp14:editId="3D5B870E">
            <wp:extent cx="4333875" cy="2708275"/>
            <wp:effectExtent l="0" t="0" r="9525" b="1587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Start w:id="0" w:name="_GoBack"/>
      <w:bookmarkEnd w:id="0"/>
    </w:p>
    <w:p w:rsidR="009F5CE7" w:rsidRPr="00A83AA5" w:rsidRDefault="00A83AA5" w:rsidP="009F5CE7">
      <w:pPr>
        <w:jc w:val="center"/>
        <w:rPr>
          <w:rFonts w:cs="Times New Roman"/>
          <w:sz w:val="24"/>
          <w:szCs w:val="24"/>
        </w:rPr>
      </w:pPr>
      <w:proofErr w:type="gramStart"/>
      <w:r w:rsidRPr="00A83AA5">
        <w:rPr>
          <w:rFonts w:eastAsia="Times New Roman"/>
          <w:sz w:val="24"/>
          <w:szCs w:val="24"/>
        </w:rPr>
        <w:t>Figure.</w:t>
      </w:r>
      <w:proofErr w:type="gramEnd"/>
      <w:r w:rsidRPr="00A83AA5">
        <w:rPr>
          <w:rFonts w:eastAsia="Times New Roman"/>
          <w:sz w:val="24"/>
          <w:szCs w:val="24"/>
        </w:rPr>
        <w:t xml:space="preserve"> The influence of pH of model water (initial turbidity 200 NTU) on coagulation activity of common bean crude extract</w:t>
      </w:r>
    </w:p>
    <w:sectPr w:rsidR="009F5CE7" w:rsidRPr="00A83A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CE7"/>
    <w:rsid w:val="009F5CE7"/>
    <w:rsid w:val="00A83AA5"/>
    <w:rsid w:val="00E6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5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C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5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C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JELENA\Dropbox\Industrial%20Crops%20and%20Products\Fig%201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5765567765567765"/>
          <c:y val="0.13823857302118173"/>
          <c:w val="0.72899633699633704"/>
          <c:h val="0.62192274952117466"/>
        </c:manualLayout>
      </c:layout>
      <c:scatterChart>
        <c:scatterStyle val="smoothMarker"/>
        <c:varyColors val="0"/>
        <c:ser>
          <c:idx val="0"/>
          <c:order val="0"/>
          <c:spPr>
            <a:ln w="25400">
              <a:solidFill>
                <a:srgbClr val="79A42C"/>
              </a:solidFill>
            </a:ln>
          </c:spPr>
          <c:marker>
            <c:symbol val="diamond"/>
            <c:size val="6"/>
            <c:spPr>
              <a:solidFill>
                <a:srgbClr val="79A42C"/>
              </a:solidFill>
              <a:ln>
                <a:solidFill>
                  <a:srgbClr val="79A42C"/>
                </a:solidFill>
              </a:ln>
            </c:spPr>
          </c:marker>
          <c:xVal>
            <c:numRef>
              <c:f>'[Fig 1.xlsx]Sheet1'!$B$6:$B$10</c:f>
              <c:numCache>
                <c:formatCode>General</c:formatCode>
                <c:ptCount val="5"/>
                <c:pt idx="0">
                  <c:v>5.5</c:v>
                </c:pt>
                <c:pt idx="1">
                  <c:v>6</c:v>
                </c:pt>
                <c:pt idx="2">
                  <c:v>6.5</c:v>
                </c:pt>
                <c:pt idx="3">
                  <c:v>8</c:v>
                </c:pt>
                <c:pt idx="4">
                  <c:v>10</c:v>
                </c:pt>
              </c:numCache>
            </c:numRef>
          </c:xVal>
          <c:yVal>
            <c:numRef>
              <c:f>'[Fig 1.xlsx]Sheet1'!$C$6:$C$10</c:f>
              <c:numCache>
                <c:formatCode>General</c:formatCode>
                <c:ptCount val="5"/>
                <c:pt idx="0">
                  <c:v>82.9</c:v>
                </c:pt>
                <c:pt idx="1">
                  <c:v>56.1</c:v>
                </c:pt>
                <c:pt idx="2">
                  <c:v>75.599999999999994</c:v>
                </c:pt>
                <c:pt idx="3">
                  <c:v>8.4</c:v>
                </c:pt>
                <c:pt idx="4">
                  <c:v>39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80507392"/>
        <c:axId val="180510080"/>
      </c:scatterChart>
      <c:valAx>
        <c:axId val="180507392"/>
        <c:scaling>
          <c:orientation val="minMax"/>
          <c:max val="12"/>
          <c:min val="4"/>
        </c:scaling>
        <c:delete val="0"/>
        <c:axPos val="b"/>
        <c:title>
          <c:tx>
            <c:rich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sr-Latn-CS">
                    <a:latin typeface="+mn-lt"/>
                    <a:cs typeface="Times New Roman" pitchFamily="18" charset="0"/>
                  </a:rPr>
                  <a:t>pH</a:t>
                </a:r>
                <a:endParaRPr lang="en-US">
                  <a:latin typeface="+mn-lt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0.49342124542124544"/>
              <c:y val="0.89507058239341708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15875">
            <a:solidFill>
              <a:sysClr val="windowText" lastClr="000000"/>
            </a:solidFill>
          </a:ln>
        </c:spPr>
        <c:txPr>
          <a:bodyPr/>
          <a:lstStyle/>
          <a:p>
            <a:pPr>
              <a:defRPr>
                <a:latin typeface="+mn-lt"/>
                <a:cs typeface="Times New Roman" pitchFamily="18" charset="0"/>
              </a:defRPr>
            </a:pPr>
            <a:endParaRPr lang="en-US"/>
          </a:p>
        </c:txPr>
        <c:crossAx val="180510080"/>
        <c:crosses val="autoZero"/>
        <c:crossBetween val="midCat"/>
        <c:majorUnit val="1"/>
        <c:minorUnit val="1"/>
      </c:valAx>
      <c:valAx>
        <c:axId val="180510080"/>
        <c:scaling>
          <c:orientation val="minMax"/>
          <c:max val="100"/>
          <c:min val="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sr-Latn-CS">
                    <a:latin typeface="+mn-lt"/>
                    <a:cs typeface="Times New Roman" pitchFamily="18" charset="0"/>
                  </a:rPr>
                  <a:t>CA</a:t>
                </a:r>
                <a:r>
                  <a:rPr lang="sr-Latn-CS" baseline="-25000">
                    <a:latin typeface="+mn-lt"/>
                    <a:cs typeface="Times New Roman" pitchFamily="18" charset="0"/>
                  </a:rPr>
                  <a:t>T</a:t>
                </a:r>
                <a:r>
                  <a:rPr lang="en-US">
                    <a:latin typeface="+mn-lt"/>
                    <a:cs typeface="Times New Roman" pitchFamily="18" charset="0"/>
                  </a:rPr>
                  <a:t> (%)</a:t>
                </a:r>
              </a:p>
            </c:rich>
          </c:tx>
          <c:layout>
            <c:manualLayout>
              <c:xMode val="edge"/>
              <c:yMode val="edge"/>
              <c:x val="4.1890105326303891E-2"/>
              <c:y val="0.35027425206081358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15875">
            <a:solidFill>
              <a:schemeClr val="tx1"/>
            </a:solidFill>
          </a:ln>
        </c:spPr>
        <c:txPr>
          <a:bodyPr/>
          <a:lstStyle/>
          <a:p>
            <a:pPr>
              <a:defRPr>
                <a:latin typeface="+mn-lt"/>
                <a:cs typeface="Times New Roman" pitchFamily="18" charset="0"/>
              </a:defRPr>
            </a:pPr>
            <a:endParaRPr lang="en-US"/>
          </a:p>
        </c:txPr>
        <c:crossAx val="180507392"/>
        <c:crosses val="autoZero"/>
        <c:crossBetween val="midCat"/>
        <c:majorUnit val="20"/>
        <c:minorUnit val="20"/>
      </c:valAx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Prodanovic</dc:creator>
  <cp:lastModifiedBy>Jelena Prodanovic</cp:lastModifiedBy>
  <cp:revision>2</cp:revision>
  <dcterms:created xsi:type="dcterms:W3CDTF">2020-02-12T22:29:00Z</dcterms:created>
  <dcterms:modified xsi:type="dcterms:W3CDTF">2020-03-02T22:56:00Z</dcterms:modified>
</cp:coreProperties>
</file>