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F1D81" w14:textId="4FA44239" w:rsidR="00805616" w:rsidRDefault="0092125B" w:rsidP="00EF5C9C">
      <w:pPr>
        <w:spacing w:line="240" w:lineRule="auto"/>
      </w:pPr>
      <w:r>
        <w:t>Поштован</w:t>
      </w:r>
      <w:r>
        <w:rPr>
          <w:lang w:val="sr-Cyrl-RS"/>
        </w:rPr>
        <w:t>о</w:t>
      </w:r>
      <w:r>
        <w:t xml:space="preserve"> уредни</w:t>
      </w:r>
      <w:r>
        <w:rPr>
          <w:lang w:val="sr-Cyrl-RS"/>
        </w:rPr>
        <w:t>штво часописа Хемијска индустрија</w:t>
      </w:r>
      <w:r w:rsidR="00805616">
        <w:t xml:space="preserve">, </w:t>
      </w:r>
    </w:p>
    <w:p w14:paraId="5D6CA522" w14:textId="2FCD074A" w:rsidR="00A8400A" w:rsidRPr="00F84497" w:rsidRDefault="0092125B" w:rsidP="00EF5C9C">
      <w:pPr>
        <w:spacing w:line="240" w:lineRule="auto"/>
        <w:rPr>
          <w:lang w:val="sr-Cyrl-RS"/>
        </w:rPr>
      </w:pPr>
      <w:r>
        <w:rPr>
          <w:lang w:val="sr-Cyrl-RS"/>
        </w:rPr>
        <w:t>Упућујемо одговоре на примедбе и сугестије рецензената</w:t>
      </w:r>
      <w:r w:rsidR="00720E6C">
        <w:rPr>
          <w:lang w:val="sr-Cyrl-RS"/>
        </w:rPr>
        <w:t xml:space="preserve"> </w:t>
      </w:r>
      <w:r w:rsidR="00805616">
        <w:t>са конкретно наведеним изменама</w:t>
      </w:r>
      <w:r>
        <w:rPr>
          <w:lang w:val="sr-Cyrl-RS"/>
        </w:rPr>
        <w:t>. Захваљујемо се рецензентима и Уредништву на педантно спроведеној процедури рецензирања и на корисним сугестијама за поправку рукописа.</w:t>
      </w:r>
    </w:p>
    <w:p w14:paraId="5229D8C7" w14:textId="4FB98CAA" w:rsidR="00805616" w:rsidRPr="00805616" w:rsidRDefault="00720E6C" w:rsidP="00EF5C9C">
      <w:pPr>
        <w:spacing w:line="240" w:lineRule="auto"/>
        <w:rPr>
          <w:b/>
        </w:rPr>
      </w:pPr>
      <w:r>
        <w:rPr>
          <w:b/>
        </w:rPr>
        <w:t>Резензент</w:t>
      </w:r>
      <w:r w:rsidR="00805616" w:rsidRPr="00805616">
        <w:rPr>
          <w:b/>
        </w:rPr>
        <w:t xml:space="preserve"> 1:</w:t>
      </w:r>
    </w:p>
    <w:p w14:paraId="43528E11" w14:textId="3F5134FA" w:rsidR="00805616" w:rsidRDefault="00805616" w:rsidP="00EF5C9C">
      <w:pPr>
        <w:spacing w:line="240" w:lineRule="auto"/>
      </w:pPr>
      <w:r w:rsidRPr="00805616">
        <w:t>Страна 4, редови 72-74:.....испоручити велику количину енергије по јединичној маси или запремини. Међутим, због мале површине облога и коначног растојања између њих конвенционални конданзатори имају малу густину енергије (укупну енергију коју могу ускладиштити по јединичној маси или запремини):</w:t>
      </w:r>
      <w:r w:rsidRPr="00805616">
        <w:br/>
        <w:t>Ове две реченице су у несагласности, да ли су Аутори мислили “испоручити велику количину снаге”?</w:t>
      </w:r>
    </w:p>
    <w:p w14:paraId="296A3B2E" w14:textId="0ADF3CC4" w:rsidR="00805616" w:rsidRPr="00F84497" w:rsidRDefault="00805616" w:rsidP="00EF5C9C">
      <w:pPr>
        <w:spacing w:line="240" w:lineRule="auto"/>
        <w:rPr>
          <w:color w:val="C00000"/>
          <w:lang w:val="sr-Cyrl-RS"/>
        </w:rPr>
      </w:pPr>
      <w:r w:rsidRPr="00F84497">
        <w:rPr>
          <w:color w:val="C00000"/>
        </w:rPr>
        <w:t xml:space="preserve">Рецензент је добро </w:t>
      </w:r>
      <w:r w:rsidR="00242F92" w:rsidRPr="00F84497">
        <w:rPr>
          <w:color w:val="C00000"/>
          <w:lang w:val="sr-Cyrl-RS"/>
        </w:rPr>
        <w:t>уочио</w:t>
      </w:r>
      <w:r w:rsidR="00242F92" w:rsidRPr="00F84497">
        <w:rPr>
          <w:color w:val="C00000"/>
        </w:rPr>
        <w:t xml:space="preserve"> </w:t>
      </w:r>
      <w:r w:rsidR="00242F92" w:rsidRPr="00F84497">
        <w:rPr>
          <w:color w:val="C00000"/>
          <w:lang w:val="sr-Cyrl-RS"/>
        </w:rPr>
        <w:t xml:space="preserve">да је незграпно употребљен термин „велику количину енергије“ код описа конвенционалних кондензатира, за које се зна да складиште </w:t>
      </w:r>
      <w:r w:rsidR="00242F92" w:rsidRPr="00F84497">
        <w:rPr>
          <w:b/>
          <w:color w:val="C00000"/>
          <w:lang w:val="sr-Cyrl-RS"/>
        </w:rPr>
        <w:t>мале количине енергије</w:t>
      </w:r>
      <w:r w:rsidR="00242F92" w:rsidRPr="00F84497">
        <w:rPr>
          <w:color w:val="C00000"/>
          <w:lang w:val="sr-Cyrl-RS"/>
        </w:rPr>
        <w:t xml:space="preserve">, али ове количине могу да испоруче у </w:t>
      </w:r>
      <w:r w:rsidR="00242F92" w:rsidRPr="00F84497">
        <w:rPr>
          <w:color w:val="C00000"/>
          <w:lang w:val="sr-Cyrl-RS"/>
        </w:rPr>
        <w:t xml:space="preserve">кратком временском интервалу (одликују се великом густином снаге). </w:t>
      </w:r>
      <w:r w:rsidR="008C5CF8" w:rsidRPr="00F84497">
        <w:rPr>
          <w:color w:val="C00000"/>
          <w:lang w:val="sr-Cyrl-RS"/>
        </w:rPr>
        <w:t xml:space="preserve">Одговор је да нисмо мислили на </w:t>
      </w:r>
      <w:r w:rsidR="008C5CF8" w:rsidRPr="00F84497">
        <w:rPr>
          <w:color w:val="C00000"/>
        </w:rPr>
        <w:t>“испоручити велику количину снаге”</w:t>
      </w:r>
      <w:r w:rsidR="008C5CF8" w:rsidRPr="00F84497">
        <w:rPr>
          <w:color w:val="C00000"/>
          <w:lang w:val="sr-Cyrl-RS"/>
        </w:rPr>
        <w:t xml:space="preserve"> него на испоруку расположиве енергије. </w:t>
      </w:r>
      <w:r w:rsidR="00242F92" w:rsidRPr="00F84497">
        <w:rPr>
          <w:color w:val="C00000"/>
          <w:lang w:val="sr-Cyrl-RS"/>
        </w:rPr>
        <w:t xml:space="preserve">Дакле, уместо </w:t>
      </w:r>
      <w:r w:rsidR="00242F92" w:rsidRPr="00F84497">
        <w:rPr>
          <w:color w:val="C00000"/>
        </w:rPr>
        <w:t xml:space="preserve">“испоручити велику количину </w:t>
      </w:r>
      <w:r w:rsidR="008C5CF8" w:rsidRPr="00F84497">
        <w:rPr>
          <w:color w:val="C00000"/>
          <w:lang w:val="sr-Cyrl-RS"/>
        </w:rPr>
        <w:t>енергије</w:t>
      </w:r>
      <w:r w:rsidR="00242F92" w:rsidRPr="00F84497">
        <w:rPr>
          <w:color w:val="C00000"/>
        </w:rPr>
        <w:t>”</w:t>
      </w:r>
      <w:r w:rsidR="00242F92" w:rsidRPr="00F84497">
        <w:rPr>
          <w:color w:val="C00000"/>
          <w:lang w:val="sr-Cyrl-RS"/>
        </w:rPr>
        <w:t xml:space="preserve"> мора</w:t>
      </w:r>
      <w:r w:rsidR="008C5CF8" w:rsidRPr="00F84497">
        <w:rPr>
          <w:color w:val="C00000"/>
          <w:lang w:val="sr-Cyrl-RS"/>
        </w:rPr>
        <w:t xml:space="preserve"> </w:t>
      </w:r>
      <w:r w:rsidR="00242F92" w:rsidRPr="00F84497">
        <w:rPr>
          <w:color w:val="C00000"/>
          <w:lang w:val="sr-Cyrl-RS"/>
        </w:rPr>
        <w:t xml:space="preserve">да стоји „испоручити </w:t>
      </w:r>
      <w:r w:rsidR="00F84497" w:rsidRPr="00F84497">
        <w:rPr>
          <w:color w:val="C00000"/>
        </w:rPr>
        <w:t xml:space="preserve">велику количину </w:t>
      </w:r>
      <w:r w:rsidR="00242F92" w:rsidRPr="00F84497">
        <w:rPr>
          <w:color w:val="C00000"/>
          <w:lang w:val="sr-Cyrl-RS"/>
        </w:rPr>
        <w:t>расположив</w:t>
      </w:r>
      <w:r w:rsidR="00F84497" w:rsidRPr="00F84497">
        <w:rPr>
          <w:color w:val="C00000"/>
        </w:rPr>
        <w:t>e</w:t>
      </w:r>
      <w:r w:rsidR="00242F92" w:rsidRPr="00F84497">
        <w:rPr>
          <w:color w:val="C00000"/>
          <w:lang w:val="sr-Cyrl-RS"/>
        </w:rPr>
        <w:t xml:space="preserve"> енерги</w:t>
      </w:r>
      <w:r w:rsidR="00F84497" w:rsidRPr="00F84497">
        <w:rPr>
          <w:color w:val="C00000"/>
        </w:rPr>
        <w:t>je</w:t>
      </w:r>
      <w:r w:rsidR="00242F92" w:rsidRPr="00F84497">
        <w:rPr>
          <w:color w:val="C00000"/>
          <w:lang w:val="sr-Cyrl-RS"/>
        </w:rPr>
        <w:t xml:space="preserve">“ </w:t>
      </w:r>
      <w:r w:rsidRPr="00F84497">
        <w:rPr>
          <w:color w:val="C00000"/>
          <w:lang w:val="sr-Cyrl-RS"/>
        </w:rPr>
        <w:t xml:space="preserve">Наведена </w:t>
      </w:r>
      <w:r w:rsidR="008C5CF8" w:rsidRPr="00F84497">
        <w:rPr>
          <w:color w:val="C00000"/>
          <w:lang w:val="sr-Cyrl-RS"/>
        </w:rPr>
        <w:t xml:space="preserve">реченица </w:t>
      </w:r>
      <w:r w:rsidRPr="00F84497">
        <w:rPr>
          <w:color w:val="C00000"/>
          <w:lang w:val="sr-Cyrl-RS"/>
        </w:rPr>
        <w:t xml:space="preserve">је </w:t>
      </w:r>
      <w:r w:rsidR="008C5CF8" w:rsidRPr="00F84497">
        <w:rPr>
          <w:color w:val="C00000"/>
          <w:lang w:val="sr-Cyrl-RS"/>
        </w:rPr>
        <w:t xml:space="preserve">у складу са овим </w:t>
      </w:r>
      <w:r w:rsidRPr="00F84497">
        <w:rPr>
          <w:color w:val="C00000"/>
          <w:lang w:val="sr-Cyrl-RS"/>
        </w:rPr>
        <w:t xml:space="preserve">коригована и сада гласи: </w:t>
      </w:r>
    </w:p>
    <w:p w14:paraId="2D5E5738" w14:textId="16B53BDF" w:rsidR="00805616" w:rsidRDefault="00805616" w:rsidP="00EF5C9C">
      <w:pPr>
        <w:spacing w:line="240" w:lineRule="auto"/>
        <w:rPr>
          <w:color w:val="C00000"/>
          <w:lang w:val="sr-Cyrl-RS"/>
        </w:rPr>
      </w:pPr>
      <w:r w:rsidRPr="00805616">
        <w:rPr>
          <w:color w:val="C00000"/>
          <w:lang w:val="sr-Cyrl-RS"/>
        </w:rPr>
        <w:t xml:space="preserve">Електролитички (конвенционални) конданзатори, чије су електроде металне, имају велику густину снаге, и могу у кратком времену (реда величине десетине секунде) испоручити </w:t>
      </w:r>
      <w:r w:rsidR="00F84497" w:rsidRPr="00F84497">
        <w:rPr>
          <w:color w:val="C00000"/>
          <w:lang w:val="sr-Cyrl-RS"/>
        </w:rPr>
        <w:t>велику количину расположивe енергиje</w:t>
      </w:r>
      <w:r w:rsidRPr="00805616">
        <w:rPr>
          <w:color w:val="C00000"/>
          <w:lang w:val="sr-Cyrl-RS"/>
        </w:rPr>
        <w:t>.</w:t>
      </w:r>
    </w:p>
    <w:p w14:paraId="407B5C1A" w14:textId="578926DD" w:rsidR="008C5CF8" w:rsidRPr="00805616" w:rsidRDefault="008C5CF8" w:rsidP="00EF5C9C">
      <w:pPr>
        <w:spacing w:line="240" w:lineRule="auto"/>
        <w:rPr>
          <w:color w:val="C00000"/>
          <w:lang w:val="sr-Cyrl-RS"/>
        </w:rPr>
      </w:pPr>
      <w:r>
        <w:rPr>
          <w:color w:val="C00000"/>
          <w:lang w:val="sr-Cyrl-RS"/>
        </w:rPr>
        <w:t>Изнвињавамо се због овог пропуста.</w:t>
      </w:r>
    </w:p>
    <w:p w14:paraId="51210B26" w14:textId="13C6A3E5" w:rsidR="00805616" w:rsidRPr="00F84497" w:rsidRDefault="00805616" w:rsidP="00EF5C9C">
      <w:pPr>
        <w:spacing w:line="240" w:lineRule="auto"/>
      </w:pPr>
      <w:r w:rsidRPr="00F84497">
        <w:t>Табела 1 и 2. Суперкондензтори : Суперкондензатори</w:t>
      </w:r>
    </w:p>
    <w:p w14:paraId="130BEAFD" w14:textId="37ACE032" w:rsidR="00805616" w:rsidRPr="00805616" w:rsidRDefault="00F84497" w:rsidP="00EF5C9C">
      <w:pPr>
        <w:spacing w:after="75" w:line="240" w:lineRule="auto"/>
        <w:jc w:val="both"/>
        <w:rPr>
          <w:color w:val="C00000"/>
          <w:lang w:val="sr-Cyrl-RS"/>
        </w:rPr>
      </w:pPr>
      <w:r>
        <w:rPr>
          <w:color w:val="C00000"/>
          <w:lang w:val="sr-Cyrl-RS"/>
        </w:rPr>
        <w:t>У табелама је направљена g</w:t>
      </w:r>
      <w:r w:rsidR="00805616" w:rsidRPr="00805616">
        <w:rPr>
          <w:color w:val="C00000"/>
          <w:lang w:val="sr-Cyrl-RS"/>
        </w:rPr>
        <w:t>решка при куцању, треба Суперкондензатори, исправљено је и означено у рукопису. Сада Тебеле гласе:</w:t>
      </w:r>
    </w:p>
    <w:p w14:paraId="45EDD943" w14:textId="77777777" w:rsidR="00805616" w:rsidRPr="00805616" w:rsidRDefault="00805616" w:rsidP="00EF5C9C">
      <w:pPr>
        <w:spacing w:after="75" w:line="240" w:lineRule="auto"/>
        <w:jc w:val="both"/>
        <w:rPr>
          <w:color w:val="C00000"/>
          <w:lang w:val="sr-Cyrl-RS"/>
        </w:rPr>
      </w:pPr>
    </w:p>
    <w:p w14:paraId="4B42A169" w14:textId="77777777" w:rsidR="00805616" w:rsidRPr="00805616" w:rsidRDefault="00805616" w:rsidP="00EF5C9C">
      <w:pPr>
        <w:spacing w:after="75" w:line="240" w:lineRule="auto"/>
        <w:rPr>
          <w:color w:val="C00000"/>
          <w:lang w:val="sr-Cyrl-RS"/>
        </w:rPr>
      </w:pPr>
      <w:r w:rsidRPr="00805616">
        <w:rPr>
          <w:color w:val="C00000"/>
          <w:lang w:val="sr-Cyrl-RS"/>
        </w:rPr>
        <w:t xml:space="preserve">Табела 1. Поређење карактеристика хемијских извора струје </w:t>
      </w:r>
      <w:r w:rsidRPr="00805616">
        <w:rPr>
          <w:color w:val="C00000"/>
          <w:lang w:val="sr-Cyrl-RS"/>
        </w:rPr>
        <w:fldChar w:fldCharType="begin" w:fldLock="1"/>
      </w:r>
      <w:r w:rsidRPr="00805616">
        <w:rPr>
          <w:color w:val="C00000"/>
          <w:lang w:val="sr-Cyrl-RS"/>
        </w:rPr>
        <w:instrText>ADDIN CSL_CITATION { "citationItems" : [ { "id" : "ITEM-1", "itemData" : { "DOI" : "10.1016/J.JPOWSOUR.2006.02.065", "ISSN" : "0378-7753", "abstract" : "Supercapacitors (also known as \u2018ultracapacitors\u2019) offer a promising alternative approach to meeting the increasing power demands of energy-storage systems in general, and of portable (digital) electronic devices in particular. Supercapacitors are able to store and deliver energy at relatively high rates (beyond those accessible with batteries) because the mechanism of energy storage is simple charge-separation (as in conventional capacitors). The vast increases in capacitance achieved by supercapacitors are due to the combination of: (i) an extremely small distance that separates the opposite charges, as defined by the electric double-layer; (ii) highly porous electrodes that embody very high surface-area. A variety of porous forms of carbon are currently preferred as the electrode materials because they have exceptionally high surface areas, relatively high electronic conductivity, and acceptable cost. The power and energy-storage capabilities of these devices are closely linked to the physical and chemical characteristics of the carbon electrodes. For example, increases in specific surface-area, obtained through activation of the carbon, generally lead to increased capacitance. Since only the electrolyte-wetted surface-area contributes to capacitance, the carbon processing is required to generate predominantly \u2018open\u2019 pores that are connected to the bulk pore network. While the supercapacitors available today perform well, it is generally agreed that there is considerable scope for improvement (e.g., improved performance at higher frequencies). Thus it is likely that carbon will continue to play a principal role in supercapacitor technology, mainly through further optimization of porosity, surface treatments to promote wettability, and reduced inter-particle contact resistance.", "author" : [ { "dropping-particle" : "", "family" : "Pandolfo", "given" : "A.G.", "non-dropping-particle" : "", "parse-names" : false, "suffix" : "" }, { "dropping-particle" : "", "family" : "Hollenkamp", "given" : "A.F.", "non-dropping-particle" : "", "parse-names" : false, "suffix" : "" } ], "container-title" : "Journal of Power Sources", "id" : "ITEM-1", "issue" : "1", "issued" : { "date-parts" : [ [ "2006", "6", "19" ] ] }, "page" : "11-27", "publisher" : "Elsevier", "title" : "Carbon properties and their role in supercapacitors", "type" : "article-journal", "volume" : "157" }, "uris" : [ "http://www.mendeley.com/documents/?uuid=09e29359-eca2-357d-aaf6-24a4d96e9d7b" ] } ], "mendeley" : { "formattedCitation" : "&lt;span style=\"baseline\"&gt;[&lt;span style=\"baseline\"&gt;3&lt;/span&gt;]&lt;/span&gt;", "plainTextFormattedCitation" : "[3]", "previouslyFormattedCitation" : "&lt;span style=\"baseline\"&gt;[&lt;span style=\"baseline\"&gt;3&lt;/span&gt;]&lt;/span&gt;" }, "properties" : { "noteIndex" : 0 }, "schema" : "https://github.com/citation-style-language/schema/raw/master/csl-citation.json" }</w:instrText>
      </w:r>
      <w:r w:rsidRPr="00805616">
        <w:rPr>
          <w:color w:val="C00000"/>
          <w:lang w:val="sr-Cyrl-RS"/>
        </w:rPr>
        <w:fldChar w:fldCharType="separate"/>
      </w:r>
      <w:r w:rsidRPr="00805616">
        <w:rPr>
          <w:noProof/>
          <w:color w:val="C00000"/>
          <w:lang w:val="sr-Cyrl-RS"/>
        </w:rPr>
        <w:t>[3]</w:t>
      </w:r>
      <w:r w:rsidRPr="00805616">
        <w:rPr>
          <w:color w:val="C00000"/>
          <w:lang w:val="sr-Cyrl-RS"/>
        </w:rPr>
        <w:fldChar w:fldCharType="end"/>
      </w:r>
    </w:p>
    <w:p w14:paraId="56370725" w14:textId="77777777" w:rsidR="00805616" w:rsidRPr="00805616" w:rsidRDefault="00805616" w:rsidP="00EF5C9C">
      <w:pPr>
        <w:spacing w:after="75" w:line="240" w:lineRule="auto"/>
        <w:rPr>
          <w:color w:val="C00000"/>
          <w:lang w:val="en-GB"/>
        </w:rPr>
      </w:pPr>
      <w:r w:rsidRPr="00805616">
        <w:rPr>
          <w:color w:val="C00000"/>
          <w:lang w:val="en-GB"/>
        </w:rPr>
        <w:t xml:space="preserve">Table 1. The comparison of </w:t>
      </w:r>
      <w:r w:rsidRPr="00805616">
        <w:rPr>
          <w:color w:val="C00000"/>
          <w:lang w:val="en-US"/>
        </w:rPr>
        <w:t>the</w:t>
      </w:r>
      <w:r w:rsidRPr="00805616">
        <w:rPr>
          <w:color w:val="C00000"/>
          <w:lang w:val="sr-Cyrl-RS"/>
        </w:rPr>
        <w:t xml:space="preserve"> </w:t>
      </w:r>
      <w:r w:rsidRPr="00805616">
        <w:rPr>
          <w:color w:val="C00000"/>
          <w:lang w:val="en-GB"/>
        </w:rPr>
        <w:t xml:space="preserve">characteristics of chemical power sources </w:t>
      </w:r>
      <w:r w:rsidRPr="00805616">
        <w:rPr>
          <w:color w:val="C00000"/>
          <w:lang w:val="en-GB"/>
        </w:rPr>
        <w:fldChar w:fldCharType="begin" w:fldLock="1"/>
      </w:r>
      <w:r w:rsidRPr="00805616">
        <w:rPr>
          <w:color w:val="C00000"/>
          <w:lang w:val="en-GB"/>
        </w:rPr>
        <w:instrText>ADDIN CSL_CITATION { "citationItems" : [ { "id" : "ITEM-1", "itemData" : { "DOI" : "10.1016/J.JPOWSOUR.2006.02.065", "ISSN" : "0378-7753", "abstract" : "Supercapacitors (also known as \u2018ultracapacitors\u2019) offer a promising alternative approach to meeting the increasing power demands of energy-storage systems in general, and of portable (digital) electronic devices in particular. Supercapacitors are able to store and deliver energy at relatively high rates (beyond those accessible with batteries) because the mechanism of energy storage is simple charge-separation (as in conventional capacitors). The vast increases in capacitance achieved by supercapacitors are due to the combination of: (i) an extremely small distance that separates the opposite charges, as defined by the electric double-layer; (ii) highly porous electrodes that embody very high surface-area. A variety of porous forms of carbon are currently preferred as the electrode materials because they have exceptionally high surface areas, relatively high electronic conductivity, and acceptable cost. The power and energy-storage capabilities of these devices are closely linked to the physical and chemical characteristics of the carbon electrodes. For example, increases in specific surface-area, obtained through activation of the carbon, generally lead to increased capacitance. Since only the electrolyte-wetted surface-area contributes to capacitance, the carbon processing is required to generate predominantly \u2018open\u2019 pores that are connected to the bulk pore network. While the supercapacitors available today perform well, it is generally agreed that there is considerable scope for improvement (e.g., improved performance at higher frequencies). Thus it is likely that carbon will continue to play a principal role in supercapacitor technology, mainly through further optimization of porosity, surface treatments to promote wettability, and reduced inter-particle contact resistance.", "author" : [ { "dropping-particle" : "", "family" : "Pandolfo", "given" : "A.G.", "non-dropping-particle" : "", "parse-names" : false, "suffix" : "" }, { "dropping-particle" : "", "family" : "Hollenkamp", "given" : "A.F.", "non-dropping-particle" : "", "parse-names" : false, "suffix" : "" } ], "container-title" : "Journal of Power Sources", "id" : "ITEM-1", "issue" : "1", "issued" : { "date-parts" : [ [ "2006", "6", "19" ] ] }, "page" : "11-27", "publisher" : "Elsevier", "title" : "Carbon properties and their role in supercapacitors", "type" : "article-journal", "volume" : "157" }, "uris" : [ "http://www.mendeley.com/documents/?uuid=09e29359-eca2-357d-aaf6-24a4d96e9d7b" ] } ], "mendeley" : { "formattedCitation" : "&lt;span style=\"baseline\"&gt;[&lt;span style=\"baseline\"&gt;3&lt;/span&gt;]&lt;/span&gt;", "plainTextFormattedCitation" : "[3]", "previouslyFormattedCitation" : "&lt;span style=\"baseline\"&gt;[&lt;span style=\"baseline\"&gt;3&lt;/span&gt;]&lt;/span&gt;" }, "properties" : { "noteIndex" : 0 }, "schema" : "https://github.com/citation-style-language/schema/raw/master/csl-citation.json" }</w:instrText>
      </w:r>
      <w:r w:rsidRPr="00805616">
        <w:rPr>
          <w:color w:val="C00000"/>
          <w:lang w:val="en-GB"/>
        </w:rPr>
        <w:fldChar w:fldCharType="separate"/>
      </w:r>
      <w:r w:rsidRPr="00805616">
        <w:rPr>
          <w:noProof/>
          <w:color w:val="C00000"/>
          <w:lang w:val="en-GB"/>
        </w:rPr>
        <w:t>[3]</w:t>
      </w:r>
      <w:r w:rsidRPr="00805616">
        <w:rPr>
          <w:color w:val="C00000"/>
          <w:lang w:val="en-GB"/>
        </w:rPr>
        <w:fldChar w:fldCharType="end"/>
      </w: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30" w:type="dxa"/>
          <w:right w:w="30" w:type="dxa"/>
        </w:tblCellMar>
        <w:tblLook w:val="04A0" w:firstRow="1" w:lastRow="0" w:firstColumn="1" w:lastColumn="0" w:noHBand="0" w:noVBand="1"/>
      </w:tblPr>
      <w:tblGrid>
        <w:gridCol w:w="3397"/>
        <w:gridCol w:w="1888"/>
        <w:gridCol w:w="2228"/>
        <w:gridCol w:w="1549"/>
      </w:tblGrid>
      <w:tr w:rsidR="00805616" w:rsidRPr="00805616" w14:paraId="54744D28" w14:textId="77777777" w:rsidTr="00981A68">
        <w:tc>
          <w:tcPr>
            <w:tcW w:w="3397" w:type="dxa"/>
            <w:tcBorders>
              <w:top w:val="nil"/>
              <w:bottom w:val="single" w:sz="8" w:space="0" w:color="auto"/>
            </w:tcBorders>
            <w:vAlign w:val="center"/>
          </w:tcPr>
          <w:p w14:paraId="1819F3A8" w14:textId="77777777" w:rsidR="00805616" w:rsidRPr="00805616" w:rsidRDefault="00805616" w:rsidP="00EF5C9C">
            <w:pPr>
              <w:spacing w:after="75"/>
              <w:rPr>
                <w:color w:val="C00000"/>
                <w:lang w:val="sr-Cyrl-RS"/>
              </w:rPr>
            </w:pPr>
            <w:r w:rsidRPr="00805616">
              <w:rPr>
                <w:color w:val="C00000"/>
                <w:lang w:val="sr-Cyrl-RS"/>
              </w:rPr>
              <w:t>Особина</w:t>
            </w:r>
          </w:p>
        </w:tc>
        <w:tc>
          <w:tcPr>
            <w:tcW w:w="1888" w:type="dxa"/>
            <w:tcBorders>
              <w:top w:val="nil"/>
              <w:bottom w:val="single" w:sz="8" w:space="0" w:color="auto"/>
            </w:tcBorders>
            <w:vAlign w:val="center"/>
          </w:tcPr>
          <w:p w14:paraId="36A52602" w14:textId="77777777" w:rsidR="00805616" w:rsidRPr="00805616" w:rsidRDefault="00805616" w:rsidP="00EF5C9C">
            <w:pPr>
              <w:spacing w:after="75"/>
              <w:jc w:val="center"/>
              <w:rPr>
                <w:color w:val="C00000"/>
                <w:lang w:val="sr-Cyrl-RS"/>
              </w:rPr>
            </w:pPr>
            <w:r w:rsidRPr="00805616">
              <w:rPr>
                <w:color w:val="C00000"/>
                <w:lang w:val="sr-Cyrl-RS"/>
              </w:rPr>
              <w:t>Конвенционални кондензатори</w:t>
            </w:r>
          </w:p>
        </w:tc>
        <w:tc>
          <w:tcPr>
            <w:tcW w:w="2228" w:type="dxa"/>
            <w:tcBorders>
              <w:top w:val="nil"/>
              <w:bottom w:val="single" w:sz="8" w:space="0" w:color="auto"/>
            </w:tcBorders>
            <w:vAlign w:val="center"/>
          </w:tcPr>
          <w:p w14:paraId="78AFFA7B" w14:textId="77777777" w:rsidR="00805616" w:rsidRPr="00805616" w:rsidRDefault="00805616" w:rsidP="00EF5C9C">
            <w:pPr>
              <w:spacing w:after="75"/>
              <w:jc w:val="center"/>
              <w:rPr>
                <w:color w:val="C00000"/>
                <w:lang w:val="sr-Cyrl-RS"/>
              </w:rPr>
            </w:pPr>
            <w:r w:rsidRPr="00805616">
              <w:rPr>
                <w:color w:val="C00000"/>
                <w:highlight w:val="yellow"/>
                <w:lang w:val="sr-Cyrl-RS"/>
              </w:rPr>
              <w:t>Суперконденз</w:t>
            </w:r>
            <w:r w:rsidRPr="00805616">
              <w:rPr>
                <w:color w:val="C00000"/>
                <w:highlight w:val="yellow"/>
              </w:rPr>
              <w:t>a</w:t>
            </w:r>
            <w:r w:rsidRPr="00805616">
              <w:rPr>
                <w:color w:val="C00000"/>
                <w:highlight w:val="yellow"/>
                <w:lang w:val="sr-Cyrl-RS"/>
              </w:rPr>
              <w:t>тори</w:t>
            </w:r>
          </w:p>
        </w:tc>
        <w:tc>
          <w:tcPr>
            <w:tcW w:w="1549" w:type="dxa"/>
            <w:tcBorders>
              <w:top w:val="nil"/>
              <w:bottom w:val="single" w:sz="8" w:space="0" w:color="auto"/>
            </w:tcBorders>
            <w:vAlign w:val="center"/>
          </w:tcPr>
          <w:p w14:paraId="12294622" w14:textId="77777777" w:rsidR="00805616" w:rsidRPr="00805616" w:rsidRDefault="00805616" w:rsidP="00EF5C9C">
            <w:pPr>
              <w:spacing w:after="75"/>
              <w:jc w:val="center"/>
              <w:rPr>
                <w:color w:val="C00000"/>
                <w:lang w:val="sr-Cyrl-RS"/>
              </w:rPr>
            </w:pPr>
            <w:r w:rsidRPr="00805616">
              <w:rPr>
                <w:color w:val="C00000"/>
                <w:lang w:val="sr-Cyrl-RS"/>
              </w:rPr>
              <w:t>Батерије</w:t>
            </w:r>
          </w:p>
        </w:tc>
      </w:tr>
      <w:tr w:rsidR="00805616" w:rsidRPr="00805616" w14:paraId="00949C23" w14:textId="77777777" w:rsidTr="00981A68">
        <w:tc>
          <w:tcPr>
            <w:tcW w:w="3397" w:type="dxa"/>
            <w:tcBorders>
              <w:top w:val="single" w:sz="8" w:space="0" w:color="auto"/>
            </w:tcBorders>
            <w:vAlign w:val="center"/>
          </w:tcPr>
          <w:p w14:paraId="0CC0EA53" w14:textId="77777777" w:rsidR="00805616" w:rsidRPr="00805616" w:rsidRDefault="00805616" w:rsidP="00EF5C9C">
            <w:pPr>
              <w:spacing w:after="75"/>
              <w:rPr>
                <w:color w:val="C00000"/>
              </w:rPr>
            </w:pPr>
            <w:r w:rsidRPr="00805616">
              <w:rPr>
                <w:color w:val="C00000"/>
                <w:lang w:val="sr-Cyrl-RS"/>
              </w:rPr>
              <w:t xml:space="preserve">Специфична енергија, </w:t>
            </w:r>
            <w:r w:rsidRPr="00805616">
              <w:rPr>
                <w:color w:val="C00000"/>
              </w:rPr>
              <w:t>W h kg</w:t>
            </w:r>
            <w:r w:rsidRPr="00805616">
              <w:rPr>
                <w:color w:val="C00000"/>
                <w:vertAlign w:val="superscript"/>
              </w:rPr>
              <w:t>-1</w:t>
            </w:r>
          </w:p>
        </w:tc>
        <w:tc>
          <w:tcPr>
            <w:tcW w:w="1888" w:type="dxa"/>
            <w:tcBorders>
              <w:top w:val="single" w:sz="8" w:space="0" w:color="auto"/>
            </w:tcBorders>
            <w:vAlign w:val="center"/>
          </w:tcPr>
          <w:p w14:paraId="5FEA301E" w14:textId="77777777" w:rsidR="00805616" w:rsidRPr="00805616" w:rsidRDefault="00805616" w:rsidP="00EF5C9C">
            <w:pPr>
              <w:spacing w:after="75"/>
              <w:jc w:val="center"/>
              <w:rPr>
                <w:color w:val="C00000"/>
                <w:lang w:val="sr-Cyrl-RS"/>
              </w:rPr>
            </w:pPr>
            <w:r w:rsidRPr="00805616">
              <w:rPr>
                <w:color w:val="C00000"/>
                <w:lang w:val="sr-Cyrl-RS"/>
              </w:rPr>
              <w:t>&lt;0,1</w:t>
            </w:r>
          </w:p>
        </w:tc>
        <w:tc>
          <w:tcPr>
            <w:tcW w:w="2228" w:type="dxa"/>
            <w:tcBorders>
              <w:top w:val="single" w:sz="8" w:space="0" w:color="auto"/>
            </w:tcBorders>
            <w:vAlign w:val="center"/>
          </w:tcPr>
          <w:p w14:paraId="3644D10E" w14:textId="77777777" w:rsidR="00805616" w:rsidRPr="00805616" w:rsidRDefault="00805616" w:rsidP="00EF5C9C">
            <w:pPr>
              <w:spacing w:after="75"/>
              <w:jc w:val="center"/>
              <w:rPr>
                <w:color w:val="C00000"/>
                <w:lang w:val="sr-Cyrl-RS"/>
              </w:rPr>
            </w:pPr>
            <w:r w:rsidRPr="00805616">
              <w:rPr>
                <w:color w:val="C00000"/>
                <w:lang w:val="sr-Cyrl-RS"/>
              </w:rPr>
              <w:t>1-10</w:t>
            </w:r>
          </w:p>
        </w:tc>
        <w:tc>
          <w:tcPr>
            <w:tcW w:w="1549" w:type="dxa"/>
            <w:tcBorders>
              <w:top w:val="single" w:sz="8" w:space="0" w:color="auto"/>
            </w:tcBorders>
            <w:vAlign w:val="center"/>
          </w:tcPr>
          <w:p w14:paraId="0914DDFB" w14:textId="77777777" w:rsidR="00805616" w:rsidRPr="00805616" w:rsidRDefault="00805616" w:rsidP="00EF5C9C">
            <w:pPr>
              <w:spacing w:after="75"/>
              <w:jc w:val="center"/>
              <w:rPr>
                <w:color w:val="C00000"/>
                <w:lang w:val="sr-Cyrl-RS"/>
              </w:rPr>
            </w:pPr>
            <w:r w:rsidRPr="00805616">
              <w:rPr>
                <w:color w:val="C00000"/>
                <w:lang w:val="sr-Cyrl-RS"/>
              </w:rPr>
              <w:t>10-100</w:t>
            </w:r>
          </w:p>
        </w:tc>
      </w:tr>
      <w:tr w:rsidR="00805616" w:rsidRPr="00805616" w14:paraId="1EE83BB9" w14:textId="77777777" w:rsidTr="00981A68">
        <w:tc>
          <w:tcPr>
            <w:tcW w:w="3397" w:type="dxa"/>
            <w:vAlign w:val="center"/>
          </w:tcPr>
          <w:p w14:paraId="603695CC" w14:textId="77777777" w:rsidR="00805616" w:rsidRPr="00805616" w:rsidRDefault="00805616" w:rsidP="00EF5C9C">
            <w:pPr>
              <w:spacing w:after="75"/>
              <w:rPr>
                <w:color w:val="C00000"/>
              </w:rPr>
            </w:pPr>
            <w:r w:rsidRPr="00805616">
              <w:rPr>
                <w:color w:val="C00000"/>
                <w:lang w:val="sr-Cyrl-RS"/>
              </w:rPr>
              <w:t>Специфична снага</w:t>
            </w:r>
            <w:r w:rsidRPr="00805616">
              <w:rPr>
                <w:color w:val="C00000"/>
              </w:rPr>
              <w:t>, W kg</w:t>
            </w:r>
            <w:r w:rsidRPr="00805616">
              <w:rPr>
                <w:color w:val="C00000"/>
                <w:vertAlign w:val="superscript"/>
              </w:rPr>
              <w:t>-1</w:t>
            </w:r>
          </w:p>
        </w:tc>
        <w:tc>
          <w:tcPr>
            <w:tcW w:w="1888" w:type="dxa"/>
            <w:vAlign w:val="center"/>
          </w:tcPr>
          <w:p w14:paraId="291D9DF6" w14:textId="77777777" w:rsidR="00805616" w:rsidRPr="00805616" w:rsidRDefault="00805616" w:rsidP="00EF5C9C">
            <w:pPr>
              <w:spacing w:after="75"/>
              <w:ind w:left="360"/>
              <w:jc w:val="center"/>
              <w:rPr>
                <w:color w:val="C00000"/>
                <w:lang w:val="sr-Cyrl-RS"/>
              </w:rPr>
            </w:pPr>
            <w:r w:rsidRPr="00805616">
              <w:rPr>
                <w:color w:val="C00000"/>
                <w:lang w:val="sr-Cyrl-RS"/>
              </w:rPr>
              <w:t>&gt;10000</w:t>
            </w:r>
          </w:p>
        </w:tc>
        <w:tc>
          <w:tcPr>
            <w:tcW w:w="2228" w:type="dxa"/>
            <w:vAlign w:val="center"/>
          </w:tcPr>
          <w:p w14:paraId="7041A60E" w14:textId="77777777" w:rsidR="00805616" w:rsidRPr="00805616" w:rsidRDefault="00805616" w:rsidP="00EF5C9C">
            <w:pPr>
              <w:spacing w:after="75"/>
              <w:jc w:val="center"/>
              <w:rPr>
                <w:color w:val="C00000"/>
                <w:lang w:val="sr-Cyrl-RS"/>
              </w:rPr>
            </w:pPr>
            <w:r w:rsidRPr="00805616">
              <w:rPr>
                <w:color w:val="C00000"/>
                <w:lang w:val="sr-Cyrl-RS"/>
              </w:rPr>
              <w:t>500-10000</w:t>
            </w:r>
          </w:p>
        </w:tc>
        <w:tc>
          <w:tcPr>
            <w:tcW w:w="1549" w:type="dxa"/>
            <w:vAlign w:val="center"/>
          </w:tcPr>
          <w:p w14:paraId="218C5010" w14:textId="77777777" w:rsidR="00805616" w:rsidRPr="00805616" w:rsidRDefault="00805616" w:rsidP="00EF5C9C">
            <w:pPr>
              <w:spacing w:after="75"/>
              <w:jc w:val="center"/>
              <w:rPr>
                <w:color w:val="C00000"/>
                <w:lang w:val="sr-Cyrl-RS"/>
              </w:rPr>
            </w:pPr>
            <w:r w:rsidRPr="00805616">
              <w:rPr>
                <w:color w:val="C00000"/>
                <w:lang w:val="sr-Cyrl-RS"/>
              </w:rPr>
              <w:t>&lt;1000</w:t>
            </w:r>
          </w:p>
        </w:tc>
      </w:tr>
      <w:tr w:rsidR="00805616" w:rsidRPr="00805616" w14:paraId="652CD192" w14:textId="77777777" w:rsidTr="00981A68">
        <w:tc>
          <w:tcPr>
            <w:tcW w:w="3397" w:type="dxa"/>
            <w:vAlign w:val="center"/>
          </w:tcPr>
          <w:p w14:paraId="4E47EDBD" w14:textId="77777777" w:rsidR="00805616" w:rsidRPr="00805616" w:rsidRDefault="00805616" w:rsidP="00EF5C9C">
            <w:pPr>
              <w:spacing w:after="75"/>
              <w:rPr>
                <w:color w:val="C00000"/>
                <w:lang w:val="en-US"/>
              </w:rPr>
            </w:pPr>
            <w:r w:rsidRPr="00805616">
              <w:rPr>
                <w:color w:val="C00000"/>
                <w:lang w:val="sr-Cyrl-RS"/>
              </w:rPr>
              <w:t xml:space="preserve">Време пражњења, </w:t>
            </w:r>
            <w:r w:rsidRPr="00805616">
              <w:rPr>
                <w:color w:val="C00000"/>
                <w:lang w:val="en-US"/>
              </w:rPr>
              <w:t>s</w:t>
            </w:r>
          </w:p>
        </w:tc>
        <w:tc>
          <w:tcPr>
            <w:tcW w:w="1888" w:type="dxa"/>
            <w:vAlign w:val="center"/>
          </w:tcPr>
          <w:p w14:paraId="38785B14" w14:textId="77777777" w:rsidR="00805616" w:rsidRPr="00805616" w:rsidRDefault="00805616" w:rsidP="00EF5C9C">
            <w:pPr>
              <w:spacing w:after="75"/>
              <w:jc w:val="center"/>
              <w:rPr>
                <w:color w:val="C00000"/>
                <w:lang w:val="sr-Cyrl-RS"/>
              </w:rPr>
            </w:pPr>
            <w:r w:rsidRPr="00805616">
              <w:rPr>
                <w:color w:val="C00000"/>
                <w:lang w:val="sr-Cyrl-RS"/>
              </w:rPr>
              <w:t>10</w:t>
            </w:r>
            <w:r w:rsidRPr="00805616">
              <w:rPr>
                <w:color w:val="C00000"/>
                <w:vertAlign w:val="superscript"/>
                <w:lang w:val="sr-Cyrl-RS"/>
              </w:rPr>
              <w:t>-6</w:t>
            </w:r>
            <w:r w:rsidRPr="00805616">
              <w:rPr>
                <w:color w:val="C00000"/>
                <w:lang w:val="sr-Cyrl-RS"/>
              </w:rPr>
              <w:t>-10</w:t>
            </w:r>
            <w:r w:rsidRPr="00805616">
              <w:rPr>
                <w:color w:val="C00000"/>
                <w:vertAlign w:val="superscript"/>
                <w:lang w:val="sr-Cyrl-RS"/>
              </w:rPr>
              <w:t>-3</w:t>
            </w:r>
          </w:p>
        </w:tc>
        <w:tc>
          <w:tcPr>
            <w:tcW w:w="2228" w:type="dxa"/>
            <w:vAlign w:val="center"/>
          </w:tcPr>
          <w:p w14:paraId="7C4AEBEC" w14:textId="77777777" w:rsidR="00805616" w:rsidRPr="00805616" w:rsidRDefault="00805616" w:rsidP="00EF5C9C">
            <w:pPr>
              <w:spacing w:after="75"/>
              <w:jc w:val="center"/>
              <w:rPr>
                <w:color w:val="C00000"/>
                <w:lang w:val="sr-Cyrl-RS"/>
              </w:rPr>
            </w:pPr>
            <w:r w:rsidRPr="00805616">
              <w:rPr>
                <w:color w:val="C00000"/>
                <w:lang w:val="sr-Cyrl-RS"/>
              </w:rPr>
              <w:t>1-60</w:t>
            </w:r>
          </w:p>
        </w:tc>
        <w:tc>
          <w:tcPr>
            <w:tcW w:w="1549" w:type="dxa"/>
            <w:vAlign w:val="center"/>
          </w:tcPr>
          <w:p w14:paraId="6149BEE2" w14:textId="77777777" w:rsidR="00805616" w:rsidRPr="00805616" w:rsidRDefault="00805616" w:rsidP="00EF5C9C">
            <w:pPr>
              <w:spacing w:after="75"/>
              <w:jc w:val="center"/>
              <w:rPr>
                <w:color w:val="C00000"/>
                <w:lang w:val="sr-Cyrl-RS"/>
              </w:rPr>
            </w:pPr>
            <w:r w:rsidRPr="00805616">
              <w:rPr>
                <w:color w:val="C00000"/>
                <w:lang w:val="sr-Cyrl-RS"/>
              </w:rPr>
              <w:t>10</w:t>
            </w:r>
            <w:r w:rsidRPr="00805616">
              <w:rPr>
                <w:color w:val="C00000"/>
                <w:vertAlign w:val="superscript"/>
                <w:lang w:val="sr-Cyrl-RS"/>
              </w:rPr>
              <w:t>3</w:t>
            </w:r>
            <w:r w:rsidRPr="00805616">
              <w:rPr>
                <w:color w:val="C00000"/>
                <w:lang w:val="sr-Cyrl-RS"/>
              </w:rPr>
              <w:t>-2</w:t>
            </w:r>
            <w:r w:rsidRPr="00805616">
              <w:rPr>
                <w:rFonts w:cstheme="minorHAnsi"/>
                <w:color w:val="C00000"/>
                <w:lang w:val="sr-Cyrl-RS"/>
              </w:rPr>
              <w:t>×</w:t>
            </w:r>
            <w:r w:rsidRPr="00805616">
              <w:rPr>
                <w:color w:val="C00000"/>
                <w:lang w:val="sr-Cyrl-RS"/>
              </w:rPr>
              <w:t>10</w:t>
            </w:r>
            <w:r w:rsidRPr="00805616">
              <w:rPr>
                <w:color w:val="C00000"/>
                <w:vertAlign w:val="superscript"/>
                <w:lang w:val="sr-Cyrl-RS"/>
              </w:rPr>
              <w:t>4</w:t>
            </w:r>
          </w:p>
        </w:tc>
      </w:tr>
      <w:tr w:rsidR="00805616" w:rsidRPr="00805616" w14:paraId="46BB42AE" w14:textId="77777777" w:rsidTr="00981A68">
        <w:tc>
          <w:tcPr>
            <w:tcW w:w="3397" w:type="dxa"/>
            <w:vAlign w:val="center"/>
          </w:tcPr>
          <w:p w14:paraId="0370B658" w14:textId="77777777" w:rsidR="00805616" w:rsidRPr="00805616" w:rsidRDefault="00805616" w:rsidP="00EF5C9C">
            <w:pPr>
              <w:spacing w:after="75"/>
              <w:rPr>
                <w:color w:val="C00000"/>
                <w:lang w:val="en-US"/>
              </w:rPr>
            </w:pPr>
            <w:r w:rsidRPr="00805616">
              <w:rPr>
                <w:color w:val="C00000"/>
                <w:lang w:val="sr-Cyrl-RS"/>
              </w:rPr>
              <w:t>Време пуњења</w:t>
            </w:r>
            <w:r w:rsidRPr="00805616">
              <w:rPr>
                <w:color w:val="C00000"/>
                <w:lang w:val="en-US"/>
              </w:rPr>
              <w:t>, s</w:t>
            </w:r>
          </w:p>
        </w:tc>
        <w:tc>
          <w:tcPr>
            <w:tcW w:w="1888" w:type="dxa"/>
            <w:vAlign w:val="center"/>
          </w:tcPr>
          <w:p w14:paraId="160FFB74" w14:textId="77777777" w:rsidR="00805616" w:rsidRPr="00805616" w:rsidRDefault="00805616" w:rsidP="00EF5C9C">
            <w:pPr>
              <w:spacing w:after="75"/>
              <w:jc w:val="center"/>
              <w:rPr>
                <w:color w:val="C00000"/>
                <w:lang w:val="sr-Cyrl-RS"/>
              </w:rPr>
            </w:pPr>
            <w:r w:rsidRPr="00805616">
              <w:rPr>
                <w:color w:val="C00000"/>
                <w:lang w:val="sr-Cyrl-RS"/>
              </w:rPr>
              <w:t>10</w:t>
            </w:r>
            <w:r w:rsidRPr="00805616">
              <w:rPr>
                <w:color w:val="C00000"/>
                <w:vertAlign w:val="superscript"/>
                <w:lang w:val="sr-Cyrl-RS"/>
              </w:rPr>
              <w:t>-6</w:t>
            </w:r>
            <w:r w:rsidRPr="00805616">
              <w:rPr>
                <w:color w:val="C00000"/>
                <w:lang w:val="sr-Cyrl-RS"/>
              </w:rPr>
              <w:t>-10</w:t>
            </w:r>
            <w:r w:rsidRPr="00805616">
              <w:rPr>
                <w:color w:val="C00000"/>
                <w:vertAlign w:val="superscript"/>
                <w:lang w:val="sr-Cyrl-RS"/>
              </w:rPr>
              <w:t>-3</w:t>
            </w:r>
          </w:p>
        </w:tc>
        <w:tc>
          <w:tcPr>
            <w:tcW w:w="2228" w:type="dxa"/>
            <w:vAlign w:val="center"/>
          </w:tcPr>
          <w:p w14:paraId="7E2E4E6E" w14:textId="77777777" w:rsidR="00805616" w:rsidRPr="00805616" w:rsidRDefault="00805616" w:rsidP="00EF5C9C">
            <w:pPr>
              <w:spacing w:after="75"/>
              <w:jc w:val="center"/>
              <w:rPr>
                <w:color w:val="C00000"/>
                <w:lang w:val="sr-Cyrl-RS"/>
              </w:rPr>
            </w:pPr>
            <w:r w:rsidRPr="00805616">
              <w:rPr>
                <w:color w:val="C00000"/>
                <w:lang w:val="sr-Cyrl-RS"/>
              </w:rPr>
              <w:t>1-60</w:t>
            </w:r>
          </w:p>
        </w:tc>
        <w:tc>
          <w:tcPr>
            <w:tcW w:w="1549" w:type="dxa"/>
            <w:vAlign w:val="center"/>
          </w:tcPr>
          <w:p w14:paraId="5183C221" w14:textId="77777777" w:rsidR="00805616" w:rsidRPr="00805616" w:rsidRDefault="00805616" w:rsidP="00EF5C9C">
            <w:pPr>
              <w:spacing w:after="75"/>
              <w:jc w:val="center"/>
              <w:rPr>
                <w:color w:val="C00000"/>
                <w:lang w:val="sr-Cyrl-RS"/>
              </w:rPr>
            </w:pPr>
            <w:r w:rsidRPr="00805616">
              <w:rPr>
                <w:color w:val="C00000"/>
                <w:lang w:val="sr-Cyrl-RS"/>
              </w:rPr>
              <w:t>2</w:t>
            </w:r>
            <w:r w:rsidRPr="00805616">
              <w:rPr>
                <w:rFonts w:cstheme="minorHAnsi"/>
                <w:color w:val="C00000"/>
                <w:lang w:val="sr-Cyrl-RS"/>
              </w:rPr>
              <w:t>×</w:t>
            </w:r>
            <w:r w:rsidRPr="00805616">
              <w:rPr>
                <w:color w:val="C00000"/>
                <w:lang w:val="sr-Cyrl-RS"/>
              </w:rPr>
              <w:t>10</w:t>
            </w:r>
            <w:r w:rsidRPr="00805616">
              <w:rPr>
                <w:color w:val="C00000"/>
                <w:vertAlign w:val="superscript"/>
                <w:lang w:val="sr-Cyrl-RS"/>
              </w:rPr>
              <w:t>3</w:t>
            </w:r>
            <w:r w:rsidRPr="00805616">
              <w:rPr>
                <w:color w:val="C00000"/>
                <w:lang w:val="sr-Cyrl-RS"/>
              </w:rPr>
              <w:t>-2</w:t>
            </w:r>
            <w:r w:rsidRPr="00805616">
              <w:rPr>
                <w:rFonts w:cstheme="minorHAnsi"/>
                <w:color w:val="C00000"/>
                <w:lang w:val="sr-Cyrl-RS"/>
              </w:rPr>
              <w:t>×</w:t>
            </w:r>
            <w:r w:rsidRPr="00805616">
              <w:rPr>
                <w:color w:val="C00000"/>
                <w:lang w:val="sr-Cyrl-RS"/>
              </w:rPr>
              <w:t>10</w:t>
            </w:r>
            <w:r w:rsidRPr="00805616">
              <w:rPr>
                <w:color w:val="C00000"/>
                <w:vertAlign w:val="superscript"/>
                <w:lang w:val="sr-Cyrl-RS"/>
              </w:rPr>
              <w:t>4</w:t>
            </w:r>
          </w:p>
        </w:tc>
      </w:tr>
      <w:tr w:rsidR="00805616" w:rsidRPr="00805616" w14:paraId="49545046" w14:textId="77777777" w:rsidTr="00981A68">
        <w:tc>
          <w:tcPr>
            <w:tcW w:w="3397" w:type="dxa"/>
            <w:vAlign w:val="center"/>
          </w:tcPr>
          <w:p w14:paraId="18F9ED1F" w14:textId="77777777" w:rsidR="00805616" w:rsidRPr="00805616" w:rsidRDefault="00805616" w:rsidP="00EF5C9C">
            <w:pPr>
              <w:spacing w:after="75"/>
              <w:rPr>
                <w:color w:val="C00000"/>
                <w:lang w:val="en-US"/>
              </w:rPr>
            </w:pPr>
            <w:r w:rsidRPr="00805616">
              <w:rPr>
                <w:color w:val="C00000"/>
                <w:lang w:val="sr-Cyrl-RS"/>
              </w:rPr>
              <w:t>Ефикасност</w:t>
            </w:r>
            <w:r w:rsidRPr="00805616">
              <w:rPr>
                <w:color w:val="C00000"/>
                <w:lang w:val="en-US"/>
              </w:rPr>
              <w:t>, %</w:t>
            </w:r>
          </w:p>
        </w:tc>
        <w:tc>
          <w:tcPr>
            <w:tcW w:w="1888" w:type="dxa"/>
            <w:vAlign w:val="center"/>
          </w:tcPr>
          <w:p w14:paraId="470A84EB" w14:textId="77777777" w:rsidR="00805616" w:rsidRPr="00805616" w:rsidRDefault="00805616" w:rsidP="00EF5C9C">
            <w:pPr>
              <w:spacing w:after="75"/>
              <w:jc w:val="center"/>
              <w:rPr>
                <w:color w:val="C00000"/>
                <w:lang w:val="sr-Cyrl-RS"/>
              </w:rPr>
            </w:pPr>
            <w:r w:rsidRPr="00805616">
              <w:rPr>
                <w:color w:val="C00000"/>
                <w:lang w:val="sr-Cyrl-RS"/>
              </w:rPr>
              <w:sym w:font="Symbol" w:char="F0BB"/>
            </w:r>
            <w:r w:rsidRPr="00805616">
              <w:rPr>
                <w:color w:val="C00000"/>
                <w:lang w:val="sr-Cyrl-RS"/>
              </w:rPr>
              <w:t>100</w:t>
            </w:r>
          </w:p>
        </w:tc>
        <w:tc>
          <w:tcPr>
            <w:tcW w:w="2228" w:type="dxa"/>
            <w:vAlign w:val="center"/>
          </w:tcPr>
          <w:p w14:paraId="799A1039" w14:textId="77777777" w:rsidR="00805616" w:rsidRPr="00805616" w:rsidRDefault="00805616" w:rsidP="00EF5C9C">
            <w:pPr>
              <w:spacing w:after="75"/>
              <w:jc w:val="center"/>
              <w:rPr>
                <w:color w:val="C00000"/>
              </w:rPr>
            </w:pPr>
            <w:r w:rsidRPr="00805616">
              <w:rPr>
                <w:color w:val="C00000"/>
              </w:rPr>
              <w:t>85-98</w:t>
            </w:r>
          </w:p>
        </w:tc>
        <w:tc>
          <w:tcPr>
            <w:tcW w:w="1549" w:type="dxa"/>
            <w:vAlign w:val="center"/>
          </w:tcPr>
          <w:p w14:paraId="266D4748" w14:textId="77777777" w:rsidR="00805616" w:rsidRPr="00805616" w:rsidRDefault="00805616" w:rsidP="00EF5C9C">
            <w:pPr>
              <w:spacing w:after="75"/>
              <w:jc w:val="center"/>
              <w:rPr>
                <w:color w:val="C00000"/>
              </w:rPr>
            </w:pPr>
            <w:r w:rsidRPr="00805616">
              <w:rPr>
                <w:color w:val="C00000"/>
              </w:rPr>
              <w:t>70-85</w:t>
            </w:r>
          </w:p>
        </w:tc>
      </w:tr>
      <w:tr w:rsidR="00805616" w:rsidRPr="00805616" w14:paraId="7E9A932D" w14:textId="77777777" w:rsidTr="00981A68">
        <w:tc>
          <w:tcPr>
            <w:tcW w:w="3397" w:type="dxa"/>
            <w:vAlign w:val="center"/>
          </w:tcPr>
          <w:p w14:paraId="42987355" w14:textId="77777777" w:rsidR="00805616" w:rsidRPr="00805616" w:rsidRDefault="00805616" w:rsidP="00EF5C9C">
            <w:pPr>
              <w:spacing w:after="75"/>
              <w:rPr>
                <w:color w:val="C00000"/>
                <w:lang w:val="sr-Cyrl-RS"/>
              </w:rPr>
            </w:pPr>
            <w:r w:rsidRPr="00805616">
              <w:rPr>
                <w:color w:val="C00000"/>
                <w:lang w:val="sr-Cyrl-RS"/>
              </w:rPr>
              <w:t>Број циклуса пуњење/пражњење</w:t>
            </w:r>
          </w:p>
        </w:tc>
        <w:tc>
          <w:tcPr>
            <w:tcW w:w="1888" w:type="dxa"/>
            <w:vAlign w:val="center"/>
          </w:tcPr>
          <w:p w14:paraId="6D8D5EEA" w14:textId="77777777" w:rsidR="00805616" w:rsidRPr="00805616" w:rsidRDefault="00805616" w:rsidP="00EF5C9C">
            <w:pPr>
              <w:spacing w:after="75"/>
              <w:jc w:val="center"/>
              <w:rPr>
                <w:color w:val="C00000"/>
                <w:lang w:val="sr-Cyrl-RS"/>
              </w:rPr>
            </w:pPr>
            <w:r w:rsidRPr="00805616">
              <w:rPr>
                <w:color w:val="C00000"/>
                <w:lang w:val="sr-Cyrl-RS"/>
              </w:rPr>
              <w:t>скоро</w:t>
            </w:r>
            <w:r w:rsidRPr="00805616">
              <w:rPr>
                <w:color w:val="C00000"/>
              </w:rPr>
              <w:t xml:space="preserve"> </w:t>
            </w:r>
            <w:r w:rsidRPr="00805616">
              <w:rPr>
                <w:color w:val="C00000"/>
                <w:lang w:val="sr-Cyrl-RS"/>
              </w:rPr>
              <w:sym w:font="Symbol" w:char="F0B5"/>
            </w:r>
          </w:p>
        </w:tc>
        <w:tc>
          <w:tcPr>
            <w:tcW w:w="2228" w:type="dxa"/>
            <w:vAlign w:val="center"/>
          </w:tcPr>
          <w:p w14:paraId="637F2B72" w14:textId="77777777" w:rsidR="00805616" w:rsidRPr="00805616" w:rsidRDefault="00805616" w:rsidP="00EF5C9C">
            <w:pPr>
              <w:spacing w:after="75"/>
              <w:jc w:val="center"/>
              <w:rPr>
                <w:color w:val="C00000"/>
                <w:lang w:val="sr-Cyrl-RS"/>
              </w:rPr>
            </w:pPr>
            <w:r w:rsidRPr="00805616">
              <w:rPr>
                <w:color w:val="C00000"/>
                <w:lang w:val="sr-Cyrl-RS"/>
              </w:rPr>
              <w:t>&gt;500 000</w:t>
            </w:r>
          </w:p>
        </w:tc>
        <w:tc>
          <w:tcPr>
            <w:tcW w:w="1549" w:type="dxa"/>
            <w:vAlign w:val="center"/>
          </w:tcPr>
          <w:p w14:paraId="20B298BF" w14:textId="77777777" w:rsidR="00805616" w:rsidRPr="00805616" w:rsidRDefault="00805616" w:rsidP="00EF5C9C">
            <w:pPr>
              <w:spacing w:after="75"/>
              <w:jc w:val="center"/>
              <w:rPr>
                <w:color w:val="C00000"/>
                <w:lang w:val="sr-Cyrl-RS"/>
              </w:rPr>
            </w:pPr>
            <w:r w:rsidRPr="00805616">
              <w:rPr>
                <w:color w:val="C00000"/>
                <w:lang w:val="sr-Cyrl-RS"/>
              </w:rPr>
              <w:sym w:font="Symbol" w:char="F0BB"/>
            </w:r>
            <w:r w:rsidRPr="00805616">
              <w:rPr>
                <w:color w:val="C00000"/>
                <w:lang w:val="sr-Cyrl-RS"/>
              </w:rPr>
              <w:t>1000</w:t>
            </w:r>
          </w:p>
        </w:tc>
      </w:tr>
    </w:tbl>
    <w:p w14:paraId="0B0D239B" w14:textId="77777777" w:rsidR="00805616" w:rsidRPr="00805616" w:rsidRDefault="00805616" w:rsidP="00EF5C9C">
      <w:pPr>
        <w:spacing w:after="75" w:line="240" w:lineRule="auto"/>
        <w:jc w:val="both"/>
        <w:rPr>
          <w:color w:val="C00000"/>
          <w:lang w:val="en-US"/>
        </w:rPr>
      </w:pPr>
    </w:p>
    <w:p w14:paraId="121BA756" w14:textId="77777777" w:rsidR="00805616" w:rsidRPr="00805616" w:rsidRDefault="00805616" w:rsidP="00EF5C9C">
      <w:pPr>
        <w:spacing w:after="75" w:line="240" w:lineRule="auto"/>
        <w:jc w:val="both"/>
        <w:rPr>
          <w:color w:val="C00000"/>
          <w:lang w:val="sr-Cyrl-RS"/>
        </w:rPr>
      </w:pPr>
      <w:r w:rsidRPr="00805616">
        <w:rPr>
          <w:color w:val="C00000"/>
          <w:lang w:val="sr-Cyrl-RS"/>
        </w:rPr>
        <w:t>Табела 2. Поређење битних параметара суперкондензатора и батерија</w:t>
      </w:r>
      <w:r w:rsidRPr="00805616">
        <w:rPr>
          <w:color w:val="C00000"/>
          <w:lang w:val="en-US"/>
        </w:rPr>
        <w:t xml:space="preserve"> </w:t>
      </w:r>
      <w:r w:rsidRPr="00805616">
        <w:rPr>
          <w:color w:val="C00000"/>
          <w:lang w:val="sr-Cyrl-RS"/>
        </w:rPr>
        <w:fldChar w:fldCharType="begin" w:fldLock="1"/>
      </w:r>
      <w:r w:rsidRPr="00805616">
        <w:rPr>
          <w:color w:val="C00000"/>
          <w:lang w:val="sr-Cyrl-RS"/>
        </w:rPr>
        <w:instrText>ADDIN CSL_CITATION { "citationItems" : [ { "id" : "ITEM-1", "itemData" : { "DOI" : "10.1126/science.1158736", "ISSN" : "1095-9203", "PMID" : "18669852", "abstract" : "Rapid storage and efficient delivery of electrical energy in heavy-duty applications are being enabled by electrochemical capacitors.", "author" : [ { "dropping-particle" : "", "family" : "Miller", "given" : "John R", "non-dropping-particle" : "", "parse-names" : false, "suffix" : "" }, { "dropping-particle" : "", "family" : "Simon", "given" : "Patrice", "non-dropping-particle" : "", "parse-names" : false, "suffix" : "" } ], "container-title" : "Science (New York, N.Y.)", "id" : "ITEM-1", "issue" : "5889", "issued" : { "date-parts" : [ [ "2008", "8", "1" ] ] }, "page" : "651-2", "publisher" : "American Association for the Advancement of Science", "title" : "Materials science. Electrochemical capacitors for energy management.", "type" : "article-journal", "volume" : "321" }, "uris" : [ "http://www.mendeley.com/documents/?uuid=e964ed86-3b64-3741-b302-232136ea4824" ] } ], "mendeley" : { "formattedCitation" : "&lt;span style=\"baseline\"&gt;[&lt;span style=\"baseline\"&gt;2&lt;/span&gt;]&lt;/span&gt;", "plainTextFormattedCitation" : "[2]", "previouslyFormattedCitation" : "&lt;span style=\"baseline\"&gt;[&lt;span style=\"baseline\"&gt;2&lt;/span&gt;]&lt;/span&gt;" }, "properties" : { "noteIndex" : 0 }, "schema" : "https://github.com/citation-style-language/schema/raw/master/csl-citation.json" }</w:instrText>
      </w:r>
      <w:r w:rsidRPr="00805616">
        <w:rPr>
          <w:color w:val="C00000"/>
          <w:lang w:val="sr-Cyrl-RS"/>
        </w:rPr>
        <w:fldChar w:fldCharType="separate"/>
      </w:r>
      <w:r w:rsidRPr="00805616">
        <w:rPr>
          <w:noProof/>
          <w:color w:val="C00000"/>
          <w:lang w:val="sr-Cyrl-RS"/>
        </w:rPr>
        <w:t>[2]</w:t>
      </w:r>
      <w:r w:rsidRPr="00805616">
        <w:rPr>
          <w:color w:val="C00000"/>
          <w:lang w:val="sr-Cyrl-RS"/>
        </w:rPr>
        <w:fldChar w:fldCharType="end"/>
      </w:r>
    </w:p>
    <w:p w14:paraId="49EF404B" w14:textId="77777777" w:rsidR="00805616" w:rsidRPr="00805616" w:rsidRDefault="00805616" w:rsidP="00EF5C9C">
      <w:pPr>
        <w:spacing w:after="75" w:line="240" w:lineRule="auto"/>
        <w:jc w:val="both"/>
        <w:rPr>
          <w:color w:val="C00000"/>
          <w:lang w:val="en-GB"/>
        </w:rPr>
      </w:pPr>
      <w:r w:rsidRPr="00805616">
        <w:rPr>
          <w:color w:val="C00000"/>
          <w:lang w:val="en-GB"/>
        </w:rPr>
        <w:t xml:space="preserve">Table 2. Comparison of essential parameters of supercapacitors and batteries </w:t>
      </w:r>
      <w:r w:rsidRPr="00805616">
        <w:rPr>
          <w:color w:val="C00000"/>
          <w:lang w:val="en-GB"/>
        </w:rPr>
        <w:fldChar w:fldCharType="begin" w:fldLock="1"/>
      </w:r>
      <w:r w:rsidRPr="00805616">
        <w:rPr>
          <w:color w:val="C00000"/>
          <w:lang w:val="en-GB"/>
        </w:rPr>
        <w:instrText>ADDIN CSL_CITATION { "citationItems" : [ { "id" : "ITEM-1", "itemData" : { "DOI" : "10.1126/science.1158736", "ISSN" : "1095-9203", "PMID" : "18669852", "abstract" : "Rapid storage and efficient delivery of electrical energy in heavy-duty applications are being enabled by electrochemical capacitors.", "author" : [ { "dropping-particle" : "", "family" : "Miller", "given" : "John R", "non-dropping-particle" : "", "parse-names" : false, "suffix" : "" }, { "dropping-particle" : "", "family" : "Simon", "given" : "Patrice", "non-dropping-particle" : "", "parse-names" : false, "suffix" : "" } ], "container-title" : "Science (New York, N.Y.)", "id" : "ITEM-1", "issue" : "5889", "issued" : { "date-parts" : [ [ "2008", "8", "1" ] ] }, "page" : "651-2", "publisher" : "American Association for the Advancement of Science", "title" : "Materials science. Electrochemical capacitors for energy management.", "type" : "article-journal", "volume" : "321" }, "uris" : [ "http://www.mendeley.com/documents/?uuid=e964ed86-3b64-3741-b302-232136ea4824" ] } ], "mendeley" : { "formattedCitation" : "&lt;span style=\"baseline\"&gt;[&lt;span style=\"baseline\"&gt;2&lt;/span&gt;]&lt;/span&gt;", "plainTextFormattedCitation" : "[2]", "previouslyFormattedCitation" : "&lt;span style=\"baseline\"&gt;[&lt;span style=\"baseline\"&gt;2&lt;/span&gt;]&lt;/span&gt;" }, "properties" : { "noteIndex" : 0 }, "schema" : "https://github.com/citation-style-language/schema/raw/master/csl-citation.json" }</w:instrText>
      </w:r>
      <w:r w:rsidRPr="00805616">
        <w:rPr>
          <w:color w:val="C00000"/>
          <w:lang w:val="en-GB"/>
        </w:rPr>
        <w:fldChar w:fldCharType="separate"/>
      </w:r>
      <w:r w:rsidRPr="00805616">
        <w:rPr>
          <w:noProof/>
          <w:color w:val="C00000"/>
          <w:lang w:val="en-GB"/>
        </w:rPr>
        <w:t>[2]</w:t>
      </w:r>
      <w:r w:rsidRPr="00805616">
        <w:rPr>
          <w:color w:val="C00000"/>
          <w:lang w:val="en-GB"/>
        </w:rPr>
        <w:fldChar w:fldCharType="end"/>
      </w:r>
    </w:p>
    <w:tbl>
      <w:tblPr>
        <w:tblStyle w:val="TableGrid"/>
        <w:tblW w:w="5000" w:type="pct"/>
        <w:tblBorders>
          <w:top w:val="none" w:sz="0" w:space="0" w:color="auto"/>
          <w:left w:val="none" w:sz="0" w:space="0" w:color="auto"/>
          <w:right w:val="none" w:sz="0" w:space="0" w:color="auto"/>
          <w:insideV w:val="none" w:sz="0" w:space="0" w:color="auto"/>
        </w:tblBorders>
        <w:tblLayout w:type="fixed"/>
        <w:tblCellMar>
          <w:left w:w="30" w:type="dxa"/>
          <w:right w:w="30" w:type="dxa"/>
        </w:tblCellMar>
        <w:tblLook w:val="04A0" w:firstRow="1" w:lastRow="0" w:firstColumn="1" w:lastColumn="0" w:noHBand="0" w:noVBand="1"/>
      </w:tblPr>
      <w:tblGrid>
        <w:gridCol w:w="2840"/>
        <w:gridCol w:w="3407"/>
        <w:gridCol w:w="2839"/>
      </w:tblGrid>
      <w:tr w:rsidR="00805616" w:rsidRPr="00805616" w14:paraId="152FC1BA" w14:textId="77777777" w:rsidTr="00981A68">
        <w:tc>
          <w:tcPr>
            <w:tcW w:w="2835" w:type="dxa"/>
            <w:tcBorders>
              <w:top w:val="single" w:sz="4" w:space="0" w:color="auto"/>
              <w:bottom w:val="single" w:sz="8" w:space="0" w:color="auto"/>
            </w:tcBorders>
            <w:vAlign w:val="center"/>
          </w:tcPr>
          <w:p w14:paraId="7A8263F8" w14:textId="77777777" w:rsidR="00805616" w:rsidRPr="00805616" w:rsidRDefault="00805616" w:rsidP="00EF5C9C">
            <w:pPr>
              <w:rPr>
                <w:color w:val="C00000"/>
                <w:lang w:val="sr-Cyrl-RS"/>
              </w:rPr>
            </w:pPr>
            <w:r w:rsidRPr="00805616">
              <w:rPr>
                <w:color w:val="C00000"/>
                <w:lang w:val="sr-Cyrl-RS"/>
              </w:rPr>
              <w:t>Параметар</w:t>
            </w:r>
          </w:p>
        </w:tc>
        <w:tc>
          <w:tcPr>
            <w:tcW w:w="3402" w:type="dxa"/>
            <w:tcBorders>
              <w:top w:val="single" w:sz="4" w:space="0" w:color="auto"/>
              <w:bottom w:val="single" w:sz="8" w:space="0" w:color="auto"/>
            </w:tcBorders>
            <w:vAlign w:val="center"/>
          </w:tcPr>
          <w:p w14:paraId="7742226B" w14:textId="77777777" w:rsidR="00805616" w:rsidRPr="00805616" w:rsidRDefault="00805616" w:rsidP="00EF5C9C">
            <w:pPr>
              <w:jc w:val="center"/>
              <w:rPr>
                <w:color w:val="C00000"/>
                <w:lang w:val="sr-Cyrl-RS"/>
              </w:rPr>
            </w:pPr>
            <w:r w:rsidRPr="00805616">
              <w:rPr>
                <w:color w:val="C00000"/>
                <w:highlight w:val="yellow"/>
                <w:lang w:val="sr-Cyrl-RS"/>
              </w:rPr>
              <w:t>Суперконденз</w:t>
            </w:r>
            <w:r w:rsidRPr="00805616">
              <w:rPr>
                <w:color w:val="C00000"/>
                <w:highlight w:val="yellow"/>
              </w:rPr>
              <w:t>a</w:t>
            </w:r>
            <w:r w:rsidRPr="00805616">
              <w:rPr>
                <w:color w:val="C00000"/>
                <w:highlight w:val="yellow"/>
                <w:lang w:val="sr-Cyrl-RS"/>
              </w:rPr>
              <w:t>тори</w:t>
            </w:r>
          </w:p>
        </w:tc>
        <w:tc>
          <w:tcPr>
            <w:tcW w:w="2835" w:type="dxa"/>
            <w:tcBorders>
              <w:top w:val="single" w:sz="4" w:space="0" w:color="auto"/>
              <w:bottom w:val="single" w:sz="8" w:space="0" w:color="auto"/>
            </w:tcBorders>
            <w:vAlign w:val="center"/>
          </w:tcPr>
          <w:p w14:paraId="3F2F507E" w14:textId="77777777" w:rsidR="00805616" w:rsidRPr="00805616" w:rsidRDefault="00805616" w:rsidP="00EF5C9C">
            <w:pPr>
              <w:jc w:val="center"/>
              <w:rPr>
                <w:color w:val="C00000"/>
                <w:lang w:val="sr-Cyrl-RS"/>
              </w:rPr>
            </w:pPr>
            <w:r w:rsidRPr="00805616">
              <w:rPr>
                <w:color w:val="C00000"/>
                <w:lang w:val="sr-Cyrl-RS"/>
              </w:rPr>
              <w:t>Батерије</w:t>
            </w:r>
          </w:p>
        </w:tc>
      </w:tr>
      <w:tr w:rsidR="00805616" w:rsidRPr="00805616" w14:paraId="3676A82B" w14:textId="77777777" w:rsidTr="00981A68">
        <w:tc>
          <w:tcPr>
            <w:tcW w:w="2835" w:type="dxa"/>
            <w:tcBorders>
              <w:top w:val="single" w:sz="8" w:space="0" w:color="auto"/>
            </w:tcBorders>
            <w:vAlign w:val="center"/>
          </w:tcPr>
          <w:p w14:paraId="6427A8C7" w14:textId="77777777" w:rsidR="00805616" w:rsidRPr="00805616" w:rsidRDefault="00805616" w:rsidP="00EF5C9C">
            <w:pPr>
              <w:rPr>
                <w:color w:val="C00000"/>
                <w:lang w:val="sr-Cyrl-RS"/>
              </w:rPr>
            </w:pPr>
            <w:r w:rsidRPr="00805616">
              <w:rPr>
                <w:color w:val="C00000"/>
                <w:lang w:val="sr-Cyrl-RS"/>
              </w:rPr>
              <w:t xml:space="preserve">Механизам складиштења </w:t>
            </w:r>
          </w:p>
        </w:tc>
        <w:tc>
          <w:tcPr>
            <w:tcW w:w="3402" w:type="dxa"/>
            <w:tcBorders>
              <w:top w:val="single" w:sz="8" w:space="0" w:color="auto"/>
            </w:tcBorders>
            <w:vAlign w:val="center"/>
          </w:tcPr>
          <w:p w14:paraId="6082BA93" w14:textId="77777777" w:rsidR="00805616" w:rsidRPr="00805616" w:rsidRDefault="00805616" w:rsidP="00EF5C9C">
            <w:pPr>
              <w:jc w:val="center"/>
              <w:rPr>
                <w:color w:val="C00000"/>
                <w:lang w:val="sr-Cyrl-RS"/>
              </w:rPr>
            </w:pPr>
            <w:r w:rsidRPr="00805616">
              <w:rPr>
                <w:color w:val="C00000"/>
                <w:lang w:val="sr-Cyrl-RS"/>
              </w:rPr>
              <w:t>Електростатички</w:t>
            </w:r>
          </w:p>
        </w:tc>
        <w:tc>
          <w:tcPr>
            <w:tcW w:w="2835" w:type="dxa"/>
            <w:tcBorders>
              <w:top w:val="single" w:sz="8" w:space="0" w:color="auto"/>
            </w:tcBorders>
            <w:vAlign w:val="center"/>
          </w:tcPr>
          <w:p w14:paraId="123C82E8" w14:textId="77777777" w:rsidR="00805616" w:rsidRPr="00805616" w:rsidRDefault="00805616" w:rsidP="00EF5C9C">
            <w:pPr>
              <w:jc w:val="center"/>
              <w:rPr>
                <w:color w:val="C00000"/>
                <w:lang w:val="sr-Cyrl-RS"/>
              </w:rPr>
            </w:pPr>
            <w:r w:rsidRPr="00805616">
              <w:rPr>
                <w:color w:val="C00000"/>
                <w:lang w:val="sr-Cyrl-RS"/>
              </w:rPr>
              <w:t>Хемијски</w:t>
            </w:r>
          </w:p>
        </w:tc>
      </w:tr>
      <w:tr w:rsidR="00805616" w:rsidRPr="00805616" w14:paraId="5194D859" w14:textId="77777777" w:rsidTr="00981A68">
        <w:tc>
          <w:tcPr>
            <w:tcW w:w="2835" w:type="dxa"/>
            <w:vAlign w:val="center"/>
          </w:tcPr>
          <w:p w14:paraId="011E41B5" w14:textId="77777777" w:rsidR="00805616" w:rsidRPr="00805616" w:rsidRDefault="00805616" w:rsidP="00EF5C9C">
            <w:pPr>
              <w:rPr>
                <w:color w:val="C00000"/>
                <w:lang w:val="sr-Cyrl-RS"/>
              </w:rPr>
            </w:pPr>
            <w:r w:rsidRPr="00805616">
              <w:rPr>
                <w:color w:val="C00000"/>
                <w:lang w:val="sr-Cyrl-RS"/>
              </w:rPr>
              <w:lastRenderedPageBreak/>
              <w:t>Ограничење снаге</w:t>
            </w:r>
          </w:p>
        </w:tc>
        <w:tc>
          <w:tcPr>
            <w:tcW w:w="3402" w:type="dxa"/>
            <w:vAlign w:val="center"/>
          </w:tcPr>
          <w:p w14:paraId="00CB6632" w14:textId="77777777" w:rsidR="00805616" w:rsidRPr="00805616" w:rsidRDefault="00805616" w:rsidP="00EF5C9C">
            <w:pPr>
              <w:jc w:val="center"/>
              <w:rPr>
                <w:color w:val="C00000"/>
                <w:lang w:val="sr-Cyrl-RS"/>
              </w:rPr>
            </w:pPr>
            <w:r w:rsidRPr="00805616">
              <w:rPr>
                <w:color w:val="C00000"/>
                <w:lang w:val="sr-Cyrl-RS"/>
              </w:rPr>
              <w:t>Проводљивост електролита</w:t>
            </w:r>
          </w:p>
        </w:tc>
        <w:tc>
          <w:tcPr>
            <w:tcW w:w="2835" w:type="dxa"/>
            <w:vAlign w:val="center"/>
          </w:tcPr>
          <w:p w14:paraId="161C2A70" w14:textId="77777777" w:rsidR="00805616" w:rsidRPr="00805616" w:rsidRDefault="00805616" w:rsidP="00EF5C9C">
            <w:pPr>
              <w:jc w:val="center"/>
              <w:rPr>
                <w:color w:val="C00000"/>
                <w:lang w:val="sr-Cyrl-RS"/>
              </w:rPr>
            </w:pPr>
            <w:r w:rsidRPr="00805616">
              <w:rPr>
                <w:color w:val="C00000"/>
                <w:lang w:val="sr-Cyrl-RS"/>
              </w:rPr>
              <w:t>Кинетика електрохемијске реакције, транспорт масе</w:t>
            </w:r>
          </w:p>
        </w:tc>
      </w:tr>
      <w:tr w:rsidR="00805616" w:rsidRPr="00805616" w14:paraId="2CBB8339" w14:textId="77777777" w:rsidTr="00981A68">
        <w:tc>
          <w:tcPr>
            <w:tcW w:w="2835" w:type="dxa"/>
            <w:vAlign w:val="center"/>
          </w:tcPr>
          <w:p w14:paraId="563CAEBA" w14:textId="77777777" w:rsidR="00805616" w:rsidRPr="00805616" w:rsidRDefault="00805616" w:rsidP="00EF5C9C">
            <w:pPr>
              <w:rPr>
                <w:color w:val="C00000"/>
                <w:lang w:val="sr-Cyrl-RS"/>
              </w:rPr>
            </w:pPr>
            <w:r w:rsidRPr="00805616">
              <w:rPr>
                <w:color w:val="C00000"/>
                <w:lang w:val="sr-Cyrl-RS"/>
              </w:rPr>
              <w:t>Складиштење енергије</w:t>
            </w:r>
          </w:p>
        </w:tc>
        <w:tc>
          <w:tcPr>
            <w:tcW w:w="3402" w:type="dxa"/>
            <w:vAlign w:val="center"/>
          </w:tcPr>
          <w:p w14:paraId="7107F660" w14:textId="77777777" w:rsidR="00805616" w:rsidRPr="00805616" w:rsidRDefault="00805616" w:rsidP="00EF5C9C">
            <w:pPr>
              <w:jc w:val="center"/>
              <w:rPr>
                <w:color w:val="C00000"/>
                <w:lang w:val="sr-Cyrl-RS"/>
              </w:rPr>
            </w:pPr>
            <w:r w:rsidRPr="00805616">
              <w:rPr>
                <w:color w:val="C00000"/>
                <w:lang w:val="sr-Cyrl-RS"/>
              </w:rPr>
              <w:t xml:space="preserve">Ограничено </w:t>
            </w:r>
            <w:r w:rsidRPr="00805616">
              <w:rPr>
                <w:color w:val="C00000"/>
                <w:lang w:val="sr-Cyrl-RS"/>
              </w:rPr>
              <w:br/>
              <w:t>површином електрода</w:t>
            </w:r>
          </w:p>
        </w:tc>
        <w:tc>
          <w:tcPr>
            <w:tcW w:w="2835" w:type="dxa"/>
            <w:vAlign w:val="center"/>
          </w:tcPr>
          <w:p w14:paraId="5983B4CA" w14:textId="77777777" w:rsidR="00805616" w:rsidRPr="00805616" w:rsidRDefault="00805616" w:rsidP="00EF5C9C">
            <w:pPr>
              <w:jc w:val="center"/>
              <w:rPr>
                <w:color w:val="C00000"/>
                <w:lang w:val="sr-Cyrl-RS"/>
              </w:rPr>
            </w:pPr>
            <w:r w:rsidRPr="00805616">
              <w:rPr>
                <w:color w:val="C00000"/>
                <w:lang w:val="sr-Cyrl-RS"/>
              </w:rPr>
              <w:t xml:space="preserve">запреминско </w:t>
            </w:r>
            <w:r w:rsidRPr="00805616">
              <w:rPr>
                <w:color w:val="C00000"/>
                <w:lang w:val="sr-Cyrl-RS"/>
              </w:rPr>
              <w:br/>
              <w:t>(у маси материјала)</w:t>
            </w:r>
          </w:p>
        </w:tc>
      </w:tr>
      <w:tr w:rsidR="00805616" w:rsidRPr="00805616" w14:paraId="72D65F3B" w14:textId="77777777" w:rsidTr="00981A68">
        <w:tc>
          <w:tcPr>
            <w:tcW w:w="2835" w:type="dxa"/>
            <w:vAlign w:val="center"/>
          </w:tcPr>
          <w:p w14:paraId="30A5F361" w14:textId="77777777" w:rsidR="00805616" w:rsidRPr="00805616" w:rsidRDefault="00805616" w:rsidP="00EF5C9C">
            <w:pPr>
              <w:rPr>
                <w:color w:val="C00000"/>
                <w:lang w:val="sr-Cyrl-RS"/>
              </w:rPr>
            </w:pPr>
            <w:r w:rsidRPr="00805616">
              <w:rPr>
                <w:color w:val="C00000"/>
                <w:lang w:val="sr-Cyrl-RS"/>
              </w:rPr>
              <w:t>Брзина пуњења</w:t>
            </w:r>
          </w:p>
        </w:tc>
        <w:tc>
          <w:tcPr>
            <w:tcW w:w="3402" w:type="dxa"/>
            <w:vAlign w:val="center"/>
          </w:tcPr>
          <w:p w14:paraId="6976A9A0" w14:textId="77777777" w:rsidR="00805616" w:rsidRPr="00805616" w:rsidRDefault="00805616" w:rsidP="00EF5C9C">
            <w:pPr>
              <w:jc w:val="center"/>
              <w:rPr>
                <w:color w:val="C00000"/>
                <w:lang w:val="sr-Cyrl-RS"/>
              </w:rPr>
            </w:pPr>
            <w:r w:rsidRPr="00805616">
              <w:rPr>
                <w:color w:val="C00000"/>
                <w:lang w:val="sr-Cyrl-RS"/>
              </w:rPr>
              <w:t>Велика (као и пражњења)</w:t>
            </w:r>
          </w:p>
        </w:tc>
        <w:tc>
          <w:tcPr>
            <w:tcW w:w="2835" w:type="dxa"/>
            <w:vAlign w:val="center"/>
          </w:tcPr>
          <w:p w14:paraId="085653B8" w14:textId="77777777" w:rsidR="00805616" w:rsidRPr="00805616" w:rsidRDefault="00805616" w:rsidP="00EF5C9C">
            <w:pPr>
              <w:jc w:val="center"/>
              <w:rPr>
                <w:color w:val="C00000"/>
                <w:lang w:val="sr-Cyrl-RS"/>
              </w:rPr>
            </w:pPr>
            <w:r w:rsidRPr="00805616">
              <w:rPr>
                <w:color w:val="C00000"/>
                <w:lang w:val="sr-Cyrl-RS"/>
              </w:rPr>
              <w:t>Кинетички ограничена</w:t>
            </w:r>
          </w:p>
        </w:tc>
      </w:tr>
      <w:tr w:rsidR="00805616" w:rsidRPr="00805616" w14:paraId="290E3734" w14:textId="77777777" w:rsidTr="00981A68">
        <w:tc>
          <w:tcPr>
            <w:tcW w:w="2835" w:type="dxa"/>
            <w:vAlign w:val="center"/>
          </w:tcPr>
          <w:p w14:paraId="25104CC7" w14:textId="77777777" w:rsidR="00805616" w:rsidRPr="00805616" w:rsidRDefault="00805616" w:rsidP="00EF5C9C">
            <w:pPr>
              <w:rPr>
                <w:color w:val="C00000"/>
                <w:lang w:val="sr-Cyrl-RS"/>
              </w:rPr>
            </w:pPr>
            <w:r w:rsidRPr="00805616">
              <w:rPr>
                <w:color w:val="C00000"/>
                <w:lang w:val="sr-Cyrl-RS"/>
              </w:rPr>
              <w:t>Ограничење века трајања</w:t>
            </w:r>
          </w:p>
        </w:tc>
        <w:tc>
          <w:tcPr>
            <w:tcW w:w="3402" w:type="dxa"/>
            <w:vAlign w:val="center"/>
          </w:tcPr>
          <w:p w14:paraId="7D5E28F5" w14:textId="77777777" w:rsidR="00805616" w:rsidRPr="00805616" w:rsidRDefault="00805616" w:rsidP="00EF5C9C">
            <w:pPr>
              <w:jc w:val="center"/>
              <w:rPr>
                <w:color w:val="C00000"/>
                <w:lang w:val="sr-Cyrl-RS"/>
              </w:rPr>
            </w:pPr>
            <w:r w:rsidRPr="00805616">
              <w:rPr>
                <w:color w:val="C00000"/>
                <w:lang w:val="sr-Cyrl-RS"/>
              </w:rPr>
              <w:t>Нежељене реакције</w:t>
            </w:r>
          </w:p>
        </w:tc>
        <w:tc>
          <w:tcPr>
            <w:tcW w:w="2835" w:type="dxa"/>
            <w:vAlign w:val="center"/>
          </w:tcPr>
          <w:p w14:paraId="205647D3" w14:textId="77777777" w:rsidR="00805616" w:rsidRPr="00805616" w:rsidRDefault="00805616" w:rsidP="00EF5C9C">
            <w:pPr>
              <w:jc w:val="center"/>
              <w:rPr>
                <w:color w:val="C00000"/>
                <w:lang w:val="sr-Cyrl-RS"/>
              </w:rPr>
            </w:pPr>
            <w:r w:rsidRPr="00805616">
              <w:rPr>
                <w:color w:val="C00000"/>
                <w:lang w:val="sr-Cyrl-RS"/>
              </w:rPr>
              <w:t>Механичка стабилност, иреверзибилност реакција</w:t>
            </w:r>
          </w:p>
        </w:tc>
      </w:tr>
    </w:tbl>
    <w:p w14:paraId="22297890" w14:textId="77777777" w:rsidR="00F84497" w:rsidRDefault="00F84497" w:rsidP="00EF5C9C">
      <w:pPr>
        <w:spacing w:line="240" w:lineRule="auto"/>
      </w:pPr>
    </w:p>
    <w:p w14:paraId="7BB59CFF" w14:textId="79969D9D" w:rsidR="00805616" w:rsidRDefault="00805616" w:rsidP="00EF5C9C">
      <w:pPr>
        <w:spacing w:line="240" w:lineRule="auto"/>
      </w:pPr>
      <w:r w:rsidRPr="00805616">
        <w:t>273 са нижом енергијом кристралне решетке, КРИСТАЛНЕ</w:t>
      </w:r>
    </w:p>
    <w:p w14:paraId="4B54D87C" w14:textId="295CC62C" w:rsidR="00805616" w:rsidRPr="00805616" w:rsidRDefault="00805616" w:rsidP="00EF5C9C">
      <w:pPr>
        <w:spacing w:line="240" w:lineRule="auto"/>
        <w:rPr>
          <w:color w:val="C00000"/>
          <w:lang w:val="sr-Cyrl-RS"/>
        </w:rPr>
      </w:pPr>
      <w:r w:rsidRPr="00805616">
        <w:rPr>
          <w:color w:val="C00000"/>
          <w:lang w:val="sr-Cyrl-RS"/>
        </w:rPr>
        <w:t>Направљена је грешка у куцању, треба кристалне, реченица сада гласи:</w:t>
      </w:r>
    </w:p>
    <w:p w14:paraId="055E5AF5" w14:textId="77777777" w:rsidR="00805616" w:rsidRPr="00805616" w:rsidRDefault="00805616" w:rsidP="00EF5C9C">
      <w:pPr>
        <w:spacing w:after="75" w:line="240" w:lineRule="auto"/>
        <w:jc w:val="both"/>
        <w:rPr>
          <w:color w:val="C00000"/>
          <w:lang w:val="sr-Cyrl-RS"/>
        </w:rPr>
      </w:pPr>
      <w:r w:rsidRPr="00805616">
        <w:rPr>
          <w:color w:val="C00000"/>
          <w:lang w:val="sr-Cyrl-RS"/>
        </w:rPr>
        <w:t xml:space="preserve">Асиметрична структура молекула соли, са нижом енергијом </w:t>
      </w:r>
      <w:r w:rsidRPr="00805616">
        <w:rPr>
          <w:color w:val="C00000"/>
          <w:highlight w:val="yellow"/>
          <w:lang w:val="sr-Cyrl-RS"/>
        </w:rPr>
        <w:t>кристалне</w:t>
      </w:r>
      <w:r w:rsidRPr="00805616">
        <w:rPr>
          <w:color w:val="C00000"/>
          <w:lang w:val="sr-Cyrl-RS"/>
        </w:rPr>
        <w:t xml:space="preserve"> решетке, повећава њихову растворљивост.</w:t>
      </w:r>
    </w:p>
    <w:p w14:paraId="3D0AB5DA" w14:textId="77777777" w:rsidR="00EF5C9C" w:rsidRDefault="00EF5C9C" w:rsidP="00EF5C9C">
      <w:pPr>
        <w:spacing w:line="240" w:lineRule="auto"/>
      </w:pPr>
    </w:p>
    <w:p w14:paraId="0154EDEF" w14:textId="3FEB32DA" w:rsidR="00805616" w:rsidRDefault="00805616" w:rsidP="00EF5C9C">
      <w:pPr>
        <w:spacing w:line="240" w:lineRule="auto"/>
      </w:pPr>
      <w:r w:rsidRPr="00805616">
        <w:t>629 и до 104 S cm-1, да ли је ово можда S/m</w:t>
      </w:r>
    </w:p>
    <w:p w14:paraId="111B5A8F" w14:textId="34C9EBDB" w:rsidR="00805616" w:rsidRPr="00805616" w:rsidRDefault="00805616" w:rsidP="00EF5C9C">
      <w:pPr>
        <w:spacing w:line="240" w:lineRule="auto"/>
        <w:rPr>
          <w:color w:val="C00000"/>
          <w:lang w:val="sr-Cyrl-RS"/>
        </w:rPr>
      </w:pPr>
      <w:r w:rsidRPr="00805616">
        <w:rPr>
          <w:color w:val="C00000"/>
          <w:lang w:val="sr-Cyrl-RS"/>
        </w:rPr>
        <w:t>Рецензент је добро приметио да је направљена грешка исправна јединица је S m</w:t>
      </w:r>
      <w:r w:rsidRPr="00805616">
        <w:rPr>
          <w:color w:val="C00000"/>
          <w:vertAlign w:val="superscript"/>
          <w:lang w:val="sr-Cyrl-RS"/>
        </w:rPr>
        <w:t>-1</w:t>
      </w:r>
      <w:r w:rsidRPr="00805616">
        <w:rPr>
          <w:color w:val="C00000"/>
          <w:lang w:val="sr-Cyrl-RS"/>
        </w:rPr>
        <w:t>. Реченица сада гласи:</w:t>
      </w:r>
    </w:p>
    <w:p w14:paraId="0EDA7C75" w14:textId="0B78CFD6" w:rsidR="00805616" w:rsidRPr="00805616" w:rsidRDefault="00805616" w:rsidP="00EF5C9C">
      <w:pPr>
        <w:spacing w:line="240" w:lineRule="auto"/>
        <w:rPr>
          <w:color w:val="C00000"/>
          <w:lang w:val="sr-Cyrl-RS"/>
        </w:rPr>
      </w:pPr>
      <w:r w:rsidRPr="00805616">
        <w:rPr>
          <w:rFonts w:cstheme="minorHAnsi"/>
          <w:color w:val="C00000"/>
          <w:lang w:val="sr-Cyrl-RS"/>
        </w:rPr>
        <w:t xml:space="preserve">Полимери имају одличну електричну провидност, и до </w:t>
      </w:r>
      <w:r w:rsidRPr="00805616">
        <w:rPr>
          <w:rFonts w:cstheme="minorHAnsi"/>
          <w:color w:val="C00000"/>
          <w:highlight w:val="yellow"/>
        </w:rPr>
        <w:t>10</w:t>
      </w:r>
      <w:r w:rsidRPr="00805616">
        <w:rPr>
          <w:rFonts w:cstheme="minorHAnsi"/>
          <w:color w:val="C00000"/>
          <w:highlight w:val="yellow"/>
          <w:vertAlign w:val="superscript"/>
        </w:rPr>
        <w:t>4</w:t>
      </w:r>
      <w:r w:rsidRPr="00805616">
        <w:rPr>
          <w:rFonts w:cstheme="minorHAnsi"/>
          <w:color w:val="C00000"/>
          <w:highlight w:val="yellow"/>
          <w:lang w:val="sr-Cyrl-RS"/>
        </w:rPr>
        <w:t xml:space="preserve"> </w:t>
      </w:r>
      <w:r w:rsidRPr="00805616">
        <w:rPr>
          <w:rFonts w:cstheme="minorHAnsi"/>
          <w:color w:val="C00000"/>
          <w:highlight w:val="yellow"/>
        </w:rPr>
        <w:t>S m</w:t>
      </w:r>
      <w:r w:rsidRPr="00805616">
        <w:rPr>
          <w:rFonts w:cstheme="minorHAnsi"/>
          <w:color w:val="C00000"/>
          <w:highlight w:val="yellow"/>
          <w:vertAlign w:val="superscript"/>
        </w:rPr>
        <w:t>-</w:t>
      </w:r>
      <w:r w:rsidRPr="00805616">
        <w:rPr>
          <w:rFonts w:cstheme="minorHAnsi"/>
          <w:color w:val="C00000"/>
          <w:vertAlign w:val="superscript"/>
        </w:rPr>
        <w:t>1</w:t>
      </w:r>
      <w:r w:rsidRPr="00805616">
        <w:rPr>
          <w:rFonts w:cstheme="minorHAnsi"/>
          <w:color w:val="C00000"/>
          <w:lang w:val="sr-Cyrl-RS"/>
        </w:rPr>
        <w:t>, високу електроактивност која омогућава да електрода са полимерним филмом реверизибилно мења своја оксидо-редукциона стања и у електричном пољу екстремне јачине, могућност да формирају пасивни слој на металној површини, и имају полупроводничку структуру.</w:t>
      </w:r>
    </w:p>
    <w:p w14:paraId="1B0F88E3" w14:textId="3E03233D" w:rsidR="00805616" w:rsidRDefault="00805616" w:rsidP="00EF5C9C">
      <w:pPr>
        <w:spacing w:line="240" w:lineRule="auto"/>
      </w:pPr>
    </w:p>
    <w:p w14:paraId="364264D3" w14:textId="77777777" w:rsidR="00EF5C9C" w:rsidRDefault="00EF5C9C" w:rsidP="00EF5C9C">
      <w:pPr>
        <w:spacing w:line="240" w:lineRule="auto"/>
        <w:rPr>
          <w:b/>
          <w:lang w:val="sr-Cyrl-RS"/>
        </w:rPr>
      </w:pPr>
    </w:p>
    <w:p w14:paraId="31A890D8" w14:textId="5B46629F" w:rsidR="00805616" w:rsidRPr="00EF5C9C" w:rsidRDefault="00805616" w:rsidP="00EF5C9C">
      <w:pPr>
        <w:spacing w:line="240" w:lineRule="auto"/>
        <w:rPr>
          <w:b/>
          <w:lang w:val="sr-Cyrl-RS"/>
        </w:rPr>
      </w:pPr>
      <w:r w:rsidRPr="00EF5C9C">
        <w:rPr>
          <w:b/>
          <w:lang w:val="sr-Cyrl-RS"/>
        </w:rPr>
        <w:t>При</w:t>
      </w:r>
      <w:r w:rsidR="00EF5C9C" w:rsidRPr="00EF5C9C">
        <w:rPr>
          <w:b/>
          <w:lang w:val="sr-Cyrl-RS"/>
        </w:rPr>
        <w:t>м</w:t>
      </w:r>
      <w:r w:rsidRPr="00EF5C9C">
        <w:rPr>
          <w:b/>
          <w:lang w:val="sr-Cyrl-RS"/>
        </w:rPr>
        <w:t>едбе Уредника:</w:t>
      </w:r>
    </w:p>
    <w:p w14:paraId="6861160E" w14:textId="77777777" w:rsidR="006467F0" w:rsidRPr="0004660C" w:rsidRDefault="00805616" w:rsidP="00EF5C9C">
      <w:pPr>
        <w:spacing w:line="240" w:lineRule="auto"/>
        <w:rPr>
          <w:lang w:val="sr-Cyrl-RS"/>
        </w:rPr>
      </w:pPr>
      <w:r w:rsidRPr="00805616">
        <w:t>1. Предлажем ауторима да се наведе литература на основу које нацртана слика 4 у сагласности са захтевом рецензента 2.</w:t>
      </w:r>
    </w:p>
    <w:p w14:paraId="57FC421D" w14:textId="2C02EEC7" w:rsidR="006467F0" w:rsidRPr="006467F0" w:rsidRDefault="00221141" w:rsidP="00EF5C9C">
      <w:pPr>
        <w:spacing w:line="240" w:lineRule="auto"/>
        <w:rPr>
          <w:color w:val="C00000"/>
          <w:lang w:val="sr-Cyrl-RS"/>
        </w:rPr>
      </w:pPr>
      <w:r>
        <w:rPr>
          <w:color w:val="C00000"/>
          <w:lang w:val="sr-Cyrl-RS"/>
        </w:rPr>
        <w:t>Аутори су у измењеном тексту цитирали један од многих литературних изво</w:t>
      </w:r>
      <w:r w:rsidR="008F139C">
        <w:rPr>
          <w:color w:val="C00000"/>
          <w:lang w:val="sr-Cyrl-RS"/>
        </w:rPr>
        <w:t>р</w:t>
      </w:r>
      <w:r>
        <w:rPr>
          <w:color w:val="C00000"/>
          <w:lang w:val="sr-Cyrl-RS"/>
        </w:rPr>
        <w:t>а у којој се појављује илустрација најсличнија оној датој у рукопису</w:t>
      </w:r>
      <w:r w:rsidR="008F139C">
        <w:rPr>
          <w:color w:val="C00000"/>
          <w:lang w:val="sr-Cyrl-RS"/>
        </w:rPr>
        <w:t>.</w:t>
      </w:r>
    </w:p>
    <w:p w14:paraId="0D65127D" w14:textId="60AC0565" w:rsidR="006467F0" w:rsidRDefault="00805616" w:rsidP="00EF5C9C">
      <w:pPr>
        <w:spacing w:line="240" w:lineRule="auto"/>
      </w:pPr>
      <w:r w:rsidRPr="00805616">
        <w:br/>
        <w:t>2. Линија 248: „концентрација од 0,2 М довољна“, нe пoмињe сe o кaквoм eлeктрoлиту сe рaди нити штa je рaствoрнa супстaнцa. Teк у наредном пaсусу сe нaвoдe врсте рaствaрaча и растворних соли. Лoгичнo би билo дa дефинисање концентрације са најбољом проводљивости будe нaкoн дeфинисaњa eлeктрoлитa, растварача и растворене супстанце; </w:t>
      </w:r>
    </w:p>
    <w:p w14:paraId="0852DAFA" w14:textId="4B1973A7" w:rsidR="006467F0" w:rsidRPr="006467F0" w:rsidRDefault="006467F0" w:rsidP="00EF5C9C">
      <w:pPr>
        <w:spacing w:line="240" w:lineRule="auto"/>
        <w:rPr>
          <w:color w:val="C00000"/>
          <w:lang w:val="sr-Cyrl-RS"/>
        </w:rPr>
      </w:pPr>
      <w:r w:rsidRPr="006467F0">
        <w:rPr>
          <w:color w:val="C00000"/>
          <w:lang w:val="sr-Cyrl-RS"/>
        </w:rPr>
        <w:t>У потпуности је прихваћена сугестија уредника</w:t>
      </w:r>
      <w:r w:rsidR="00C65851">
        <w:rPr>
          <w:color w:val="C00000"/>
          <w:lang w:val="sr-Cyrl-RS"/>
        </w:rPr>
        <w:t>. Текст је допуњен са описом типа електролита, а текст који се односи на врсте растварача и соли је пребачен да претходи спорном делу текста.</w:t>
      </w:r>
      <w:r w:rsidRPr="006467F0">
        <w:rPr>
          <w:color w:val="C00000"/>
          <w:lang w:val="sr-Cyrl-RS"/>
        </w:rPr>
        <w:t xml:space="preserve"> </w:t>
      </w:r>
      <w:r w:rsidR="00C65851">
        <w:rPr>
          <w:color w:val="C00000"/>
          <w:lang w:val="sr-Cyrl-RS"/>
        </w:rPr>
        <w:t>Т</w:t>
      </w:r>
      <w:r w:rsidR="00C65851" w:rsidRPr="006467F0">
        <w:rPr>
          <w:color w:val="C00000"/>
          <w:lang w:val="sr-Cyrl-RS"/>
        </w:rPr>
        <w:t xml:space="preserve">екст </w:t>
      </w:r>
      <w:r w:rsidRPr="006467F0">
        <w:rPr>
          <w:color w:val="C00000"/>
          <w:lang w:val="sr-Cyrl-RS"/>
        </w:rPr>
        <w:t>сада гласи:</w:t>
      </w:r>
    </w:p>
    <w:p w14:paraId="39DDF49B" w14:textId="77777777" w:rsidR="00C65851" w:rsidRPr="00C65851" w:rsidRDefault="00C65851" w:rsidP="00C65851">
      <w:pPr>
        <w:spacing w:after="75" w:line="240" w:lineRule="auto"/>
        <w:jc w:val="both"/>
        <w:rPr>
          <w:color w:val="C00000"/>
          <w:highlight w:val="yellow"/>
          <w:lang w:val="sr-Cyrl-RS"/>
        </w:rPr>
      </w:pPr>
      <w:r w:rsidRPr="00C65851">
        <w:rPr>
          <w:color w:val="C00000"/>
          <w:highlight w:val="yellow"/>
          <w:lang w:val="sr-Cyrl-RS"/>
        </w:rPr>
        <w:t xml:space="preserve">Да би обезбедио најбоље карактеристике целог уређаја, електролит мора имати добру поводљивост, температурну и електрохемијску стабилност (напонски прозор - опсег напона у коме не долази до електохемијске разградње раствора електролита), малу вискозност, малу испарљивост и токсичност, ниску цену и велику чистоћу </w:t>
      </w:r>
      <w:r w:rsidRPr="00C65851">
        <w:rPr>
          <w:color w:val="C00000"/>
          <w:highlight w:val="yellow"/>
          <w:lang w:val="sr-Cyrl-RS"/>
        </w:rPr>
        <w:fldChar w:fldCharType="begin" w:fldLock="1"/>
      </w:r>
      <w:r w:rsidRPr="00C65851">
        <w:rPr>
          <w:color w:val="C00000"/>
          <w:highlight w:val="yellow"/>
          <w:lang w:val="sr-Cyrl-RS"/>
        </w:rPr>
        <w:instrText>ADDIN CSL_CITATION { "citationItems" : [ { "id" : "ITEM-1", "itemData" : { "DOI" : "10.1039/C1CS15060J", "ISSN" : "0306-0012", "abstract" : "In this critical review, metal oxides-based materials for electrochemical supercapacitor (ES) electrodes are reviewed in detail together with a brief review of carbon materials and conducting polymers. Their advantages, disadvantages, and performance in ES electrodes are discussed through extensive analysis of the literature, and new trends in material development are also reviewed. Two important future research directions are indicated and summarized, based on results published in the literature: the development of composite and nanostructured ES materials to overcome the major challenge posed by the low energy density of ES (476 references).", "author" : [ { "dropping-particle" : "", "family" : "Wang", "given" : "Guoping", "non-dropping-particle" : "", "parse-names" : false, "suffix" : "" }, { "dropping-particle" : "", "family" : "Zhang", "given" : "Lei", "non-dropping-particle" : "", "parse-names" : false, "suffix" : "" }, { "dropping-particle" : "", "family" : "Zhang", "given" : "Jiujun", "non-dropping-particle" : "", "parse-names" : false, "suffix" : "" } ], "container-title" : "Chem. Soc. Rev.", "id" : "ITEM-1", "issue" : "2", "issued" : { "date-parts" : [ [ "2012", "1", "4" ] ] }, "page" : "797-828", "publisher" : "The Royal Society of Chemistry", "title" : "A review of electrode materials for electrochemical supercapacitors", "type" : "article-journal", "volume" : "41" }, "uris" : [ "http://www.mendeley.com/documents/?uuid=3ad29551-83bd-3030-ab6d-1721dd169a68" ] } ], "mendeley" : { "formattedCitation" : "&lt;span style=\"baseline\"&gt;[&lt;span style=\"baseline\"&gt;21&lt;/span&gt;]&lt;/span&gt;", "plainTextFormattedCitation" : "[21]", "previouslyFormattedCitation" : "&lt;span style=\"baseline\"&gt;[&lt;span style=\"baseline\"&gt;21&lt;/span&gt;]&lt;/span&gt;" }, "properties" : { "noteIndex" : 0 }, "schema" : "https://github.com/citation-style-language/schema/raw/master/csl-citation.json" }</w:instrText>
      </w:r>
      <w:r w:rsidRPr="00C65851">
        <w:rPr>
          <w:color w:val="C00000"/>
          <w:highlight w:val="yellow"/>
          <w:lang w:val="sr-Cyrl-RS"/>
        </w:rPr>
        <w:fldChar w:fldCharType="separate"/>
      </w:r>
      <w:r w:rsidRPr="00C65851">
        <w:rPr>
          <w:color w:val="C00000"/>
          <w:highlight w:val="yellow"/>
          <w:lang w:val="sr-Cyrl-RS"/>
        </w:rPr>
        <w:t>[2</w:t>
      </w:r>
      <w:r w:rsidRPr="00C65851">
        <w:rPr>
          <w:color w:val="C00000"/>
          <w:highlight w:val="yellow"/>
        </w:rPr>
        <w:t>0</w:t>
      </w:r>
      <w:r w:rsidRPr="00C65851">
        <w:rPr>
          <w:color w:val="C00000"/>
          <w:highlight w:val="yellow"/>
          <w:lang w:val="sr-Cyrl-RS"/>
        </w:rPr>
        <w:t>]</w:t>
      </w:r>
      <w:r w:rsidRPr="00C65851">
        <w:rPr>
          <w:color w:val="C00000"/>
          <w:highlight w:val="yellow"/>
          <w:lang w:val="sr-Cyrl-RS"/>
        </w:rPr>
        <w:fldChar w:fldCharType="end"/>
      </w:r>
      <w:r w:rsidRPr="00C65851">
        <w:rPr>
          <w:color w:val="C00000"/>
          <w:highlight w:val="yellow"/>
          <w:lang w:val="sr-Cyrl-RS"/>
        </w:rPr>
        <w:t xml:space="preserve">. Начини да се то постигне су многоструки, али најчешће је погодан избор смеше растварача и подешавање pH вредности електролита то што доводи до задовољавајућих решења. У сваком случају, прелиминарна </w:t>
      </w:r>
      <w:r w:rsidRPr="00C65851">
        <w:rPr>
          <w:color w:val="C00000"/>
          <w:highlight w:val="yellow"/>
          <w:lang w:val="sr-Cyrl-RS"/>
        </w:rPr>
        <w:lastRenderedPageBreak/>
        <w:t>истраживања одређивања напонског прозора који обезбеђује сигурно и реверзибилно функционисање неког пара активни материјал/електролит су неопходна да би се осигурала добра својства и функционалност неког суперкондензатора.</w:t>
      </w:r>
    </w:p>
    <w:p w14:paraId="12FDC21E" w14:textId="77777777" w:rsidR="00C65851" w:rsidRPr="00C65851" w:rsidRDefault="00C65851" w:rsidP="00C65851">
      <w:pPr>
        <w:spacing w:after="75" w:line="240" w:lineRule="auto"/>
        <w:jc w:val="both"/>
        <w:rPr>
          <w:color w:val="C00000"/>
          <w:highlight w:val="yellow"/>
          <w:lang w:val="sr-Cyrl-RS"/>
        </w:rPr>
      </w:pPr>
      <w:r w:rsidRPr="00C65851">
        <w:rPr>
          <w:color w:val="C00000"/>
          <w:highlight w:val="yellow"/>
          <w:lang w:val="sr-Cyrl-RS"/>
        </w:rPr>
        <w:t xml:space="preserve">Електролити који се углавном користе у суперкондензаторима се могу поделити на водене и органске. Водени ограничавају напонски прозор на око 1 </w:t>
      </w:r>
      <w:r w:rsidRPr="00C65851">
        <w:rPr>
          <w:color w:val="C00000"/>
          <w:highlight w:val="yellow"/>
        </w:rPr>
        <w:t>V</w:t>
      </w:r>
      <w:r w:rsidRPr="00C65851">
        <w:rPr>
          <w:color w:val="C00000"/>
          <w:highlight w:val="yellow"/>
          <w:lang w:val="sr-Cyrl-RS"/>
        </w:rPr>
        <w:t xml:space="preserve">, због разградње воде као растварача на напонима већим од 1,23 </w:t>
      </w:r>
      <w:r w:rsidRPr="00C65851">
        <w:rPr>
          <w:color w:val="C00000"/>
          <w:highlight w:val="yellow"/>
        </w:rPr>
        <w:t>V</w:t>
      </w:r>
      <w:r w:rsidRPr="00C65851">
        <w:rPr>
          <w:color w:val="C00000"/>
          <w:highlight w:val="yellow"/>
          <w:lang w:val="sr-Cyrl-RS"/>
        </w:rPr>
        <w:t xml:space="preserve">, док органски електролити омогућују напоне ћелија и преко 3 </w:t>
      </w:r>
      <w:r w:rsidRPr="00C65851">
        <w:rPr>
          <w:color w:val="C00000"/>
          <w:highlight w:val="yellow"/>
        </w:rPr>
        <w:t>V</w:t>
      </w:r>
      <w:r w:rsidRPr="00C65851">
        <w:rPr>
          <w:color w:val="C00000"/>
          <w:highlight w:val="yellow"/>
          <w:lang w:val="sr-Cyrl-RS"/>
        </w:rPr>
        <w:t xml:space="preserve"> </w:t>
      </w:r>
      <w:r w:rsidRPr="00C65851">
        <w:rPr>
          <w:color w:val="C00000"/>
          <w:highlight w:val="yellow"/>
        </w:rPr>
        <w:fldChar w:fldCharType="begin" w:fldLock="1"/>
      </w:r>
      <w:r w:rsidRPr="00C65851">
        <w:rPr>
          <w:color w:val="C00000"/>
          <w:highlight w:val="yellow"/>
        </w:rPr>
        <w:instrText>ADDIN CSL_CITATION { "citationItems" : [ { "id" : "ITEM-1", "itemData" : { "DOI" : "10.1039/C1CS15060J", "ISSN" : "0306-0012", "abstract" : "In this critical review, metal oxides-based materials for electrochemical supercapacitor (ES) electrodes are reviewed in detail together with a brief review of carbon materials and conducting polymers. Their advantages, disadvantages, and performance in ES electrodes are discussed through extensive analysis of the literature, and new trends in material development are also reviewed. Two important future research directions are indicated and summarized, based on results published in the literature: the development of composite and nanostructured ES materials to overcome the major challenge posed by the low energy density of ES (476 references).", "author" : [ { "dropping-particle" : "", "family" : "Wang", "given" : "Guoping", "non-dropping-particle" : "", "parse-names" : false, "suffix" : "" }, { "dropping-particle" : "", "family" : "Zhang", "given" : "Lei", "non-dropping-particle" : "", "parse-names" : false, "suffix" : "" }, { "dropping-particle" : "", "family" : "Zhang", "given" : "Jiujun", "non-dropping-particle" : "", "parse-names" : false, "suffix" : "" } ], "container-title" : "Chem. Soc. Rev.", "id" : "ITEM-1", "issue" : "2", "issued" : { "date-parts" : [ [ "2012", "1", "4" ] ] }, "page" : "797-828", "publisher" : "The Royal Society of Chemistry", "title" : "A review of electrode materials for electrochemical supercapacitors", "type" : "article-journal", "volume" : "41" }, "uris" : [ "http://www.mendeley.com/documents/?uuid=3ad29551-83bd-3030-ab6d-1721dd169a68" ] }, { "id" : "ITEM-2", "itemData" : { "DOI" : "10.1016/J.RSER.2015.12.249", "ISSN" : "1364-0321", "abstract" : "In this review, the technologies and working principles of different materials used in supercapacitors are explained. The most important supercapacitor active materials are discussed from both research and application perspectives, together with brief explanations of their properties, such as specific surface area and capacitance values. A review of different supercapacitor electrolytes is given and their positive and negative features are discussed. Finally, cell configurations are considered, pointing out the advantages and drawbacks of each configuration.", "author" : [ { "dropping-particle" : "", "family" : "Gonz\u00e1lez", "given" : "Ander", "non-dropping-particle" : "", "parse-names" : false, "suffix" : "" }, { "dropping-particle" : "", "family" : "Goikolea", "given" : "Eider", "non-dropping-particle" : "", "parse-names" : false, "suffix" : "" }, { "dropping-particle" : "", "family" : "Barrena", "given" : "Jon Andoni", "non-dropping-particle" : "", "parse-names" : false, "suffix" : "" }, { "dropping-particle" : "", "family" : "Mysyk", "given" : "Roman", "non-dropping-particle" : "", "parse-names" : false, "suffix" : "" } ], "container-title" : "Renewable and Sustainable Energy Reviews", "id" : "ITEM-2", "issued" : { "date-parts" : [ [ "2016", "5", "1" ] ] }, "page" : "1189-1206", "publisher" : "Pergamon", "title" : "Review on supercapacitors: Technologies and materials", "type" : "article-journal", "volume" : "58" }, "uris" : [ "http://www.mendeley.com/documents/?uuid=1fa96204-bda0-3e04-8c7f-a758a1dd939f" ] } ], "mendeley" : { "formattedCitation" : "&lt;span style=\"baseline\"&gt;[&lt;span style=\"baseline\"&gt;1&lt;/span&gt;,&lt;span style=\"baseline\"&gt;21&lt;/span&gt;]&lt;/span&gt;", "plainTextFormattedCitation" : "[1,21]", "previouslyFormattedCitation" : "&lt;span style=\"baseline\"&gt;[&lt;span style=\"baseline\"&gt;1&lt;/span&gt;,&lt;span style=\"baseline\"&gt;21&lt;/span&gt;]&lt;/span&gt;" }, "properties" : { "noteIndex" : 0 }, "schema" : "https://github.com/citation-style-language/schema/raw/master/csl-citation.json" }</w:instrText>
      </w:r>
      <w:r w:rsidRPr="00C65851">
        <w:rPr>
          <w:color w:val="C00000"/>
          <w:highlight w:val="yellow"/>
        </w:rPr>
        <w:fldChar w:fldCharType="separate"/>
      </w:r>
      <w:r w:rsidRPr="00C65851">
        <w:rPr>
          <w:color w:val="C00000"/>
          <w:highlight w:val="yellow"/>
        </w:rPr>
        <w:t>[1,21]</w:t>
      </w:r>
      <w:r w:rsidRPr="00C65851">
        <w:rPr>
          <w:color w:val="C00000"/>
          <w:highlight w:val="yellow"/>
          <w:lang w:val="sr-Cyrl-RS"/>
        </w:rPr>
        <w:fldChar w:fldCharType="end"/>
      </w:r>
      <w:r w:rsidRPr="00C65851">
        <w:rPr>
          <w:color w:val="C00000"/>
          <w:highlight w:val="yellow"/>
          <w:lang w:val="sr-Cyrl-RS"/>
        </w:rPr>
        <w:t xml:space="preserve">. Али, са дуге стране, органски електролити имају и до 30 пута већи специфични отпор, што смањује потенцијалну снагу суперкондензатора </w:t>
      </w:r>
      <w:r w:rsidRPr="00C65851">
        <w:rPr>
          <w:color w:val="C00000"/>
          <w:highlight w:val="yellow"/>
          <w:lang w:val="sr-Cyrl-RS"/>
        </w:rPr>
        <w:fldChar w:fldCharType="begin" w:fldLock="1"/>
      </w:r>
      <w:r w:rsidRPr="00C65851">
        <w:rPr>
          <w:color w:val="C00000"/>
          <w:highlight w:val="yellow"/>
          <w:lang w:val="sr-Cyrl-RS"/>
        </w:rPr>
        <w:instrText>ADDIN CSL_CITATION { "citationItems" : [ { "id" : "ITEM-1", "itemData" : { "DOI" : "10.1016/S0013-4686(00)00354-6", "ISSN" : "0013-4686", "abstract" : "Electrochemical capacitors (EC) also called \u2018supercapacitors\u2019 or \u2018ultracapacitors\u2019 store the energy in the electric field of the electrochemical double-layer. Use of high surface-area electrodes result in extremely large capacitance. Single cell voltage of ECs is typically limited to 1\u20133 V depending on the electrolyte used. Small electrochemical capacitors for low-voltage electronic applications have been commercially available for many years. Different applications demanding large ECs with high voltage and improved energy and power density are under discussion. Fundamental principles, performance, characteristics, present and future applications of electrochemical capacitors are presented in this communication.", "author" : [ { "dropping-particle" : "", "family" : "K\u00f6tz", "given" : "R.", "non-dropping-particle" : "", "parse-names" : false, "suffix" : "" }, { "dropping-particle" : "", "family" : "Carlen", "given" : "M.", "non-dropping-particle" : "", "parse-names" : false, "suffix" : "" } ], "container-title" : "Electrochimica Acta", "id" : "ITEM-1", "issue" : "15-16", "issued" : { "date-parts" : [ [ "2000", "5", "3" ] ] }, "page" : "2483-2498", "publisher" : "Pergamon", "title" : "Principles and applications of electrochemical capacitors", "type" : "article-journal", "volume" : "45" }, "uris" : [ "http://www.mendeley.com/documents/?uuid=e5d8d003-7b89-30d4-9c7e-b8e2f568de09" ] } ], "mendeley" : { "formattedCitation" : "&lt;span style=\"baseline\"&gt;[&lt;span style=\"baseline\"&gt;4&lt;/span&gt;]&lt;/span&gt;", "plainTextFormattedCitation" : "[4]", "previouslyFormattedCitation" : "&lt;span style=\"baseline\"&gt;[&lt;span style=\"baseline\"&gt;4&lt;/span&gt;]&lt;/span&gt;" }, "properties" : { "noteIndex" : 0 }, "schema" : "https://github.com/citation-style-language/schema/raw/master/csl-citation.json" }</w:instrText>
      </w:r>
      <w:r w:rsidRPr="00C65851">
        <w:rPr>
          <w:color w:val="C00000"/>
          <w:highlight w:val="yellow"/>
          <w:lang w:val="sr-Cyrl-RS"/>
        </w:rPr>
        <w:fldChar w:fldCharType="separate"/>
      </w:r>
      <w:r w:rsidRPr="00C65851">
        <w:rPr>
          <w:color w:val="C00000"/>
          <w:highlight w:val="yellow"/>
          <w:lang w:val="sr-Cyrl-RS"/>
        </w:rPr>
        <w:t>[4]</w:t>
      </w:r>
      <w:r w:rsidRPr="00C65851">
        <w:rPr>
          <w:color w:val="C00000"/>
          <w:highlight w:val="yellow"/>
          <w:lang w:val="sr-Cyrl-RS"/>
        </w:rPr>
        <w:fldChar w:fldCharType="end"/>
      </w:r>
      <w:r w:rsidRPr="00C65851">
        <w:rPr>
          <w:color w:val="C00000"/>
          <w:highlight w:val="yellow"/>
          <w:lang w:val="sr-Cyrl-RS"/>
        </w:rPr>
        <w:t>. Водени електролити омогућавају и много веће капацитивности због већих достижних концентрација, мањег јонског радијуса и велике електричне пермитивности молекула воде у односу на органске, који уз то имају много већу цену. Опгански електролити захтевају пречишћавање и уклањање воде, у циљу спречавања разградње и постизања већег напона, што повећава њихову цену. Генерално, садржај воде не сме бити већи од 3</w:t>
      </w:r>
      <w:r w:rsidRPr="00C65851">
        <w:rPr>
          <w:color w:val="C00000"/>
          <w:highlight w:val="yellow"/>
        </w:rPr>
        <w:noBreakHyphen/>
      </w:r>
      <w:r w:rsidRPr="00C65851">
        <w:rPr>
          <w:color w:val="C00000"/>
          <w:highlight w:val="yellow"/>
          <w:lang w:val="sr-Cyrl-RS"/>
        </w:rPr>
        <w:t xml:space="preserve">5 ppm </w:t>
      </w:r>
      <w:r w:rsidRPr="00C65851">
        <w:rPr>
          <w:color w:val="C00000"/>
          <w:highlight w:val="yellow"/>
          <w:lang w:val="sr-Cyrl-RS"/>
        </w:rPr>
        <w:fldChar w:fldCharType="begin" w:fldLock="1"/>
      </w:r>
      <w:r w:rsidRPr="00C65851">
        <w:rPr>
          <w:color w:val="C00000"/>
          <w:highlight w:val="yellow"/>
          <w:lang w:val="sr-Cyrl-RS"/>
        </w:rPr>
        <w:instrText>ADDIN CSL_CITATION { "citationItems" : [ { "id" : "ITEM-1", "itemData" : { "DOI" : "10.1039/C1CS15060J", "ISSN" : "0306-0012", "abstract" : "In this critical review, metal oxides-based materials for electrochemical supercapacitor (ES) electrodes are reviewed in detail together with a brief review of carbon materials and conducting polymers. Their advantages, disadvantages, and performance in ES electrodes are discussed through extensive analysis of the literature, and new trends in material development are also reviewed. Two important future research directions are indicated and summarized, based on results published in the literature: the development of composite and nanostructured ES materials to overcome the major challenge posed by the low energy density of ES (476 references).", "author" : [ { "dropping-particle" : "", "family" : "Wang", "given" : "Guoping", "non-dropping-particle" : "", "parse-names" : false, "suffix" : "" }, { "dropping-particle" : "", "family" : "Zhang", "given" : "Lei", "non-dropping-particle" : "", "parse-names" : false, "suffix" : "" }, { "dropping-particle" : "", "family" : "Zhang", "given" : "Jiujun", "non-dropping-particle" : "", "parse-names" : false, "suffix" : "" } ], "container-title" : "Chem. Soc. Rev.", "id" : "ITEM-1", "issue" : "2", "issued" : { "date-parts" : [ [ "2012", "1", "4" ] ] }, "page" : "797-828", "publisher" : "The Royal Society of Chemistry", "title" : "A review of electrode materials for electrochemical supercapacitors", "type" : "article-journal", "volume" : "41" }, "uris" : [ "http://www.mendeley.com/documents/?uuid=3ad29551-83bd-3030-ab6d-1721dd169a68" ] } ], "mendeley" : { "formattedCitation" : "&lt;span style=\"baseline\"&gt;[&lt;span style=\"baseline\"&gt;21&lt;/span&gt;]&lt;/span&gt;", "plainTextFormattedCitation" : "[21]", "previouslyFormattedCitation" : "&lt;span style=\"baseline\"&gt;[&lt;span style=\"baseline\"&gt;21&lt;/span&gt;]&lt;/span&gt;" }, "properties" : { "noteIndex" : 0 }, "schema" : "https://github.com/citation-style-language/schema/raw/master/csl-citation.json" }</w:instrText>
      </w:r>
      <w:r w:rsidRPr="00C65851">
        <w:rPr>
          <w:color w:val="C00000"/>
          <w:highlight w:val="yellow"/>
          <w:lang w:val="sr-Cyrl-RS"/>
        </w:rPr>
        <w:fldChar w:fldCharType="separate"/>
      </w:r>
      <w:r w:rsidRPr="00C65851">
        <w:rPr>
          <w:color w:val="C00000"/>
          <w:highlight w:val="yellow"/>
          <w:lang w:val="sr-Cyrl-RS"/>
        </w:rPr>
        <w:t>[21]</w:t>
      </w:r>
      <w:r w:rsidRPr="00C65851">
        <w:rPr>
          <w:color w:val="C00000"/>
          <w:highlight w:val="yellow"/>
          <w:lang w:val="sr-Cyrl-RS"/>
        </w:rPr>
        <w:fldChar w:fldCharType="end"/>
      </w:r>
      <w:r w:rsidRPr="00C65851">
        <w:rPr>
          <w:color w:val="C00000"/>
          <w:highlight w:val="yellow"/>
          <w:lang w:val="sr-Cyrl-RS"/>
        </w:rPr>
        <w:t xml:space="preserve">. </w:t>
      </w:r>
    </w:p>
    <w:p w14:paraId="482E74DC" w14:textId="4D046B6E" w:rsidR="006467F0" w:rsidRPr="00EF5C9C" w:rsidRDefault="00C65851" w:rsidP="00EF5C9C">
      <w:pPr>
        <w:spacing w:after="75" w:line="240" w:lineRule="auto"/>
        <w:jc w:val="both"/>
        <w:rPr>
          <w:color w:val="C00000"/>
          <w:lang w:val="sr-Cyrl-RS"/>
        </w:rPr>
      </w:pPr>
      <w:r w:rsidRPr="00C65851">
        <w:rPr>
          <w:color w:val="C00000"/>
          <w:highlight w:val="yellow"/>
          <w:lang w:val="sr-Cyrl-RS"/>
        </w:rPr>
        <w:t xml:space="preserve">Својства електролита са више аспеката морају бити такве да обезбеде оптимална својства суперкондензатора. На првом месту његова концентрација мора бити таква да се избегне њено знатно смањивање током пуњења, посебно код органских електролита (ефект гладовања електролита – electrolyte starvation effect) </w:t>
      </w:r>
      <w:r w:rsidRPr="00C65851">
        <w:rPr>
          <w:color w:val="C00000"/>
          <w:highlight w:val="yellow"/>
          <w:lang w:val="sr-Cyrl-RS"/>
        </w:rPr>
        <w:fldChar w:fldCharType="begin" w:fldLock="1"/>
      </w:r>
      <w:r w:rsidRPr="00C65851">
        <w:rPr>
          <w:color w:val="C00000"/>
          <w:highlight w:val="yellow"/>
          <w:lang w:val="sr-Cyrl-RS"/>
        </w:rPr>
        <w:instrText>ADDIN CSL_CITATION { "citationItems" : [ { "id" : "ITEM-1", "itemData" : { "DOI" : "10.1016/S0022-0728(00)00423-X", "ISSN" : "1572-6657", "abstract" : "Electrochemical supercapacitors provide electrical energy storage systems complementary to batteries. Based on the double layer capacitance of high area porous electrode materials, e.g. carbon powders, felts, foams, aerogels or on the redox pseudocapacitance of oxide or polymer films, specific capacitances of the order of 50\u223c100 F g\u22121 are realizable. However, the porous nature of the electrode structures introduces a distribution of resistive and capacitative elements giving rise to electrical behaviour like that of a transmission line, as treated by de Levie, with a resulting complex power spectrum depending on charging or discharging rates. The present paper examines the cyclic voltammetry behaviour of de Levie type wire brush electrodes as models for porous electrodes, in comparison with that of single wire electrodes of the same metal. Comparisons are also made with constant current charging behaviour and with the electrochemical behaviour of specially made, 3 V, non aqueous solution, double layer capacitor modules, examined under similar conditions in relation to the current response profiles of a 5 RC element hardware model circuit. These approaches enable the effects of the distribution of R and C elements on charge acceptance and delivery at various rates to be quantitatively evaluated for various resistivities of the conducting electrolyte in pores.", "author" : [ { "dropping-particle" : "", "family" : "Pell", "given" : "W.G", "non-dropping-particle" : "", "parse-names" : false, "suffix" : "" }, { "dropping-particle" : "", "family" : "Conway", "given" : "B.E", "non-dropping-particle" : "", "parse-names" : false, "suffix" : "" } ], "container-title" : "Journal of Electroanalytical Chemistry", "id" : "ITEM-1", "issue" : "1-2", "issued" : { "date-parts" : [ [ "2001", "3", "16" ] ] }, "page" : "121-133", "publisher" : "Elsevier", "title" : "Voltammetry at a de Levie brush electrode as a model for electrochemical supercapacitor behaviour", "type" : "article-journal", "volume" : "500" }, "uris" : [ "http://www.mendeley.com/documents/?uuid=81dd2a9f-82dc-32fa-8253-88f695271b7a" ] } ], "mendeley" : { "formattedCitation" : "&lt;span style=\"baseline\"&gt;[&lt;span style=\"baseline\"&gt;20&lt;/span&gt;]&lt;/span&gt;", "plainTextFormattedCitation" : "[20]", "previouslyFormattedCitation" : "&lt;span style=\"baseline\"&gt;[&lt;span style=\"baseline\"&gt;20&lt;/span&gt;]&lt;/span&gt;" }, "properties" : { "noteIndex" : 0 }, "schema" : "https://github.com/citation-style-language/schema/raw/master/csl-citation.json" }</w:instrText>
      </w:r>
      <w:r w:rsidRPr="00C65851">
        <w:rPr>
          <w:color w:val="C00000"/>
          <w:highlight w:val="yellow"/>
          <w:lang w:val="sr-Cyrl-RS"/>
        </w:rPr>
        <w:fldChar w:fldCharType="separate"/>
      </w:r>
      <w:r w:rsidRPr="00C65851">
        <w:rPr>
          <w:color w:val="C00000"/>
          <w:highlight w:val="yellow"/>
          <w:lang w:val="sr-Cyrl-RS"/>
        </w:rPr>
        <w:t>[2</w:t>
      </w:r>
      <w:r w:rsidRPr="00C65851">
        <w:rPr>
          <w:color w:val="C00000"/>
          <w:highlight w:val="yellow"/>
        </w:rPr>
        <w:t>1</w:t>
      </w:r>
      <w:r w:rsidRPr="00C65851">
        <w:rPr>
          <w:color w:val="C00000"/>
          <w:highlight w:val="yellow"/>
          <w:lang w:val="sr-Cyrl-RS"/>
        </w:rPr>
        <w:t>]</w:t>
      </w:r>
      <w:r w:rsidRPr="00C65851">
        <w:rPr>
          <w:color w:val="C00000"/>
          <w:highlight w:val="yellow"/>
          <w:lang w:val="sr-Cyrl-RS"/>
        </w:rPr>
        <w:fldChar w:fldCharType="end"/>
      </w:r>
      <w:r w:rsidRPr="00C65851">
        <w:rPr>
          <w:color w:val="C00000"/>
          <w:highlight w:val="yellow"/>
          <w:lang w:val="sr-Cyrl-RS"/>
        </w:rPr>
        <w:t xml:space="preserve">. Ако је она прениска, то може довести до губитка оптималних својстава суперкондензатора иако је активни материјал и даље у добром стању. Обично је концентрација од 0,2 М за 1–1 електролите са типичним вредностима покретљивости јона довољна за рационално функционисање кондензатора </w:t>
      </w:r>
      <w:r w:rsidRPr="00C65851">
        <w:rPr>
          <w:color w:val="C00000"/>
          <w:highlight w:val="yellow"/>
          <w:lang w:val="sr-Cyrl-RS"/>
        </w:rPr>
        <w:fldChar w:fldCharType="begin" w:fldLock="1"/>
      </w:r>
      <w:r w:rsidRPr="00C65851">
        <w:rPr>
          <w:color w:val="C00000"/>
          <w:highlight w:val="yellow"/>
          <w:lang w:val="sr-Cyrl-RS"/>
        </w:rPr>
        <w:instrText>ADDIN CSL_CITATION { "citationItems" : [ { "id" : "ITEM-1", "itemData" : { "DOI" : "10.1016/S0013-4686(00)00354-6", "ISSN" : "0013-4686", "abstract" : "Electrochemical capacitors (EC) also called \u2018supercapacitors\u2019 or \u2018ultracapacitors\u2019 store the energy in the electric field of the electrochemical double-layer. Use of high surface-area electrodes result in extremely large capacitance. Single cell voltage of ECs is typically limited to 1\u20133 V depending on the electrolyte used. Small electrochemical capacitors for low-voltage electronic applications have been commercially available for many years. Different applications demanding large ECs with high voltage and improved energy and power density are under discussion. Fundamental principles, performance, characteristics, present and future applications of electrochemical capacitors are presented in this communication.", "author" : [ { "dropping-particle" : "", "family" : "K\u00f6tz", "given" : "R.", "non-dropping-particle" : "", "parse-names" : false, "suffix" : "" }, { "dropping-particle" : "", "family" : "Carlen", "given" : "M.", "non-dropping-particle" : "", "parse-names" : false, "suffix" : "" } ], "container-title" : "Electrochimica Acta", "id" : "ITEM-1", "issue" : "15-16", "issued" : { "date-parts" : [ [ "2000", "5", "3" ] ] }, "page" : "2483-2498", "publisher" : "Pergamon", "title" : "Principles and applications of electrochemical capacitors", "type" : "article-journal", "volume" : "45" }, "uris" : [ "http://www.mendeley.com/documents/?uuid=e5d8d003-7b89-30d4-9c7e-b8e2f568de09" ] } ], "mendeley" : { "formattedCitation" : "&lt;span style=\"baseline\"&gt;[&lt;span style=\"baseline\"&gt;4&lt;/span&gt;]&lt;/span&gt;", "plainTextFormattedCitation" : "[4]", "previouslyFormattedCitation" : "&lt;span style=\"baseline\"&gt;[&lt;span style=\"baseline\"&gt;4&lt;/span&gt;]&lt;/span&gt;" }, "properties" : { "noteIndex" : 0 }, "schema" : "https://github.com/citation-style-language/schema/raw/master/csl-citation.json" }</w:instrText>
      </w:r>
      <w:r w:rsidRPr="00C65851">
        <w:rPr>
          <w:color w:val="C00000"/>
          <w:highlight w:val="yellow"/>
          <w:lang w:val="sr-Cyrl-RS"/>
        </w:rPr>
        <w:fldChar w:fldCharType="separate"/>
      </w:r>
      <w:r w:rsidRPr="00C65851">
        <w:rPr>
          <w:color w:val="C00000"/>
          <w:highlight w:val="yellow"/>
          <w:lang w:val="sr-Cyrl-RS"/>
        </w:rPr>
        <w:t>[4]</w:t>
      </w:r>
      <w:r w:rsidRPr="00C65851">
        <w:rPr>
          <w:color w:val="C00000"/>
          <w:highlight w:val="yellow"/>
          <w:lang w:val="sr-Cyrl-RS"/>
        </w:rPr>
        <w:fldChar w:fldCharType="end"/>
      </w:r>
      <w:r w:rsidRPr="00C65851">
        <w:rPr>
          <w:color w:val="C00000"/>
          <w:highlight w:val="yellow"/>
          <w:lang w:val="sr-Cyrl-RS"/>
        </w:rPr>
        <w:t>.</w:t>
      </w:r>
    </w:p>
    <w:p w14:paraId="16C0B34B" w14:textId="507F6140" w:rsidR="00805616" w:rsidRDefault="00805616" w:rsidP="00EF5C9C">
      <w:pPr>
        <w:spacing w:line="240" w:lineRule="auto"/>
      </w:pPr>
      <w:r w:rsidRPr="00805616">
        <w:t>3. „тетра-флуороборати (као што су нпр. Тетраетиленамонијум или триетилметиламонијум-)” Мислим да је коректније написати „као што су нпр. тетраетиленамонијум или триетилметиламонијум- флуороборат) или „као што су нпр. тетраетиленамонијум или триетилметиламонијум- јони)”. Ако је испред заграде со онда у загради не може да стоји само катјонски део. Ако се ради о типовима једињења онда реченицу преформулисати.</w:t>
      </w:r>
    </w:p>
    <w:p w14:paraId="41C2BA3A" w14:textId="2A7A84BC" w:rsidR="006467F0" w:rsidRPr="006467F0" w:rsidRDefault="006467F0" w:rsidP="00EF5C9C">
      <w:pPr>
        <w:spacing w:line="240" w:lineRule="auto"/>
        <w:rPr>
          <w:color w:val="C00000"/>
          <w:lang w:val="sr-Cyrl-RS"/>
        </w:rPr>
      </w:pPr>
      <w:r w:rsidRPr="006467F0">
        <w:rPr>
          <w:color w:val="C00000"/>
          <w:lang w:val="sr-Cyrl-RS"/>
        </w:rPr>
        <w:t>У потпуности је прихваћена сугестија уредника, текст сада гласи:</w:t>
      </w:r>
    </w:p>
    <w:p w14:paraId="41A24809" w14:textId="77777777" w:rsidR="006467F0" w:rsidRDefault="006467F0" w:rsidP="00EF5C9C">
      <w:pPr>
        <w:spacing w:line="240" w:lineRule="auto"/>
        <w:rPr>
          <w:color w:val="C00000"/>
          <w:lang w:val="sr-Cyrl-RS"/>
        </w:rPr>
      </w:pPr>
      <w:r w:rsidRPr="006467F0">
        <w:rPr>
          <w:color w:val="C00000"/>
          <w:lang w:val="sr-Cyrl-RS"/>
        </w:rPr>
        <w:t xml:space="preserve">Соли које се користе у органским електролитима су најчешће различити тетра-флуороборати (као што су нпр. Тетраетиленамонијум- или триетилметил¬амо¬нијум-флуороборат). </w:t>
      </w:r>
    </w:p>
    <w:p w14:paraId="182AAC32" w14:textId="76A8B2B6" w:rsidR="006467F0" w:rsidRDefault="00805616" w:rsidP="00EF5C9C">
      <w:pPr>
        <w:spacing w:line="240" w:lineRule="auto"/>
      </w:pPr>
      <w:r w:rsidRPr="00805616">
        <w:t>4. Линија 509: „протона (то, нпр. могу бити јони литијума)” и линија 568: „К+ протон или катјон“ треба преформулисати – „катјона (то, нпр. могу бити соли литијума)” или „катјона (то, нпр. могу бити јони литијуми)” и „К+ -јон“; Проверити да ли је у осталом тексту направљен сличан пропуст;</w:t>
      </w:r>
    </w:p>
    <w:p w14:paraId="0845C1BF" w14:textId="702E1319" w:rsidR="008C2538" w:rsidRPr="008A1D46" w:rsidRDefault="00851EAA" w:rsidP="00EF5C9C">
      <w:pPr>
        <w:spacing w:line="240" w:lineRule="auto"/>
        <w:rPr>
          <w:color w:val="C00000"/>
          <w:lang w:val="sr-Cyrl-RS"/>
        </w:rPr>
      </w:pPr>
      <w:r>
        <w:rPr>
          <w:color w:val="C00000"/>
          <w:lang w:val="sr-Cyrl-RS"/>
        </w:rPr>
        <w:t>К</w:t>
      </w:r>
      <w:r w:rsidR="008C2538" w:rsidRPr="008A1D46">
        <w:rPr>
          <w:color w:val="C00000"/>
          <w:lang w:val="sr-Cyrl-RS"/>
        </w:rPr>
        <w:t>олокви</w:t>
      </w:r>
      <w:r>
        <w:rPr>
          <w:color w:val="C00000"/>
          <w:lang w:val="sr-Cyrl-RS"/>
        </w:rPr>
        <w:t>ј</w:t>
      </w:r>
      <w:r w:rsidR="008C2538" w:rsidRPr="008A1D46">
        <w:rPr>
          <w:color w:val="C00000"/>
          <w:lang w:val="sr-Cyrl-RS"/>
        </w:rPr>
        <w:t>алн</w:t>
      </w:r>
      <w:r>
        <w:rPr>
          <w:color w:val="C00000"/>
          <w:lang w:val="sr-Cyrl-RS"/>
        </w:rPr>
        <w:t>и</w:t>
      </w:r>
      <w:r w:rsidR="00F84497">
        <w:rPr>
          <w:color w:val="C00000"/>
          <w:lang w:val="sr-Cyrl-RS"/>
        </w:rPr>
        <w:t xml:space="preserve"> начин </w:t>
      </w:r>
      <w:r w:rsidR="008C2538" w:rsidRPr="008A1D46">
        <w:rPr>
          <w:color w:val="C00000"/>
          <w:lang w:val="sr-Cyrl-RS"/>
        </w:rPr>
        <w:t>коришћења термина “протон“</w:t>
      </w:r>
      <w:r>
        <w:rPr>
          <w:color w:val="C00000"/>
          <w:lang w:val="sr-Cyrl-RS"/>
        </w:rPr>
        <w:t xml:space="preserve"> заиста ствара забуну. У коригованом тексту </w:t>
      </w:r>
      <w:r w:rsidR="008A1D46" w:rsidRPr="008A1D46">
        <w:rPr>
          <w:color w:val="C00000"/>
          <w:lang w:val="sr-Cyrl-RS"/>
        </w:rPr>
        <w:t xml:space="preserve">смо се одлучили </w:t>
      </w:r>
      <w:r>
        <w:rPr>
          <w:color w:val="C00000"/>
          <w:lang w:val="sr-Cyrl-RS"/>
        </w:rPr>
        <w:t>да наведемо термин</w:t>
      </w:r>
      <w:r w:rsidR="008A1D46" w:rsidRPr="008A1D46">
        <w:rPr>
          <w:color w:val="C00000"/>
          <w:lang w:val="sr-Cyrl-RS"/>
        </w:rPr>
        <w:t xml:space="preserve"> позитивно наелектрисана честица</w:t>
      </w:r>
      <w:r>
        <w:rPr>
          <w:color w:val="C00000"/>
          <w:lang w:val="sr-Cyrl-RS"/>
        </w:rPr>
        <w:t>,</w:t>
      </w:r>
      <w:r w:rsidR="008A1D46" w:rsidRPr="008A1D46">
        <w:rPr>
          <w:color w:val="C00000"/>
          <w:lang w:val="sr-Cyrl-RS"/>
        </w:rPr>
        <w:t xml:space="preserve">. </w:t>
      </w:r>
      <w:r>
        <w:rPr>
          <w:color w:val="C00000"/>
          <w:lang w:val="sr-Cyrl-RS"/>
        </w:rPr>
        <w:t>т</w:t>
      </w:r>
      <w:r w:rsidRPr="008A1D46">
        <w:rPr>
          <w:color w:val="C00000"/>
          <w:lang w:val="sr-Cyrl-RS"/>
        </w:rPr>
        <w:t xml:space="preserve">ако </w:t>
      </w:r>
      <w:r>
        <w:rPr>
          <w:color w:val="C00000"/>
          <w:lang w:val="sr-Cyrl-RS"/>
        </w:rPr>
        <w:t xml:space="preserve">да </w:t>
      </w:r>
      <w:r w:rsidR="008A1D46" w:rsidRPr="008A1D46">
        <w:rPr>
          <w:color w:val="C00000"/>
          <w:lang w:val="sr-Cyrl-RS"/>
        </w:rPr>
        <w:t>сада реченица гласи:</w:t>
      </w:r>
    </w:p>
    <w:p w14:paraId="00847E5E" w14:textId="77777777" w:rsidR="008A1D46" w:rsidRPr="008A1D46" w:rsidRDefault="008A1D46" w:rsidP="00EF5C9C">
      <w:pPr>
        <w:spacing w:after="75" w:line="240" w:lineRule="auto"/>
        <w:jc w:val="both"/>
        <w:rPr>
          <w:rFonts w:cstheme="minorHAnsi"/>
          <w:color w:val="C00000"/>
          <w:lang w:val="sr-Cyrl-RS"/>
        </w:rPr>
      </w:pPr>
      <w:r w:rsidRPr="008A1D46">
        <w:rPr>
          <w:rFonts w:cstheme="minorHAnsi"/>
          <w:color w:val="C00000"/>
          <w:lang w:val="sr-Cyrl-RS"/>
        </w:rPr>
        <w:t xml:space="preserve">За такву сврху неопходно је користити органске електролите уз додатне изворе </w:t>
      </w:r>
      <w:r w:rsidRPr="008A1D46">
        <w:rPr>
          <w:rFonts w:cstheme="minorHAnsi"/>
          <w:color w:val="C00000"/>
          <w:highlight w:val="yellow"/>
          <w:lang w:val="sr-Cyrl-RS"/>
        </w:rPr>
        <w:t xml:space="preserve">позитивно наелектрисаних честица (то, нпр. могу бити јони литијума) </w:t>
      </w:r>
      <w:r w:rsidRPr="008A1D46">
        <w:rPr>
          <w:rFonts w:cstheme="minorHAnsi"/>
          <w:color w:val="C00000"/>
          <w:highlight w:val="yellow"/>
          <w:lang w:val="sr-Cyrl-RS"/>
        </w:rPr>
        <w:fldChar w:fldCharType="begin" w:fldLock="1"/>
      </w:r>
      <w:r w:rsidRPr="008A1D46">
        <w:rPr>
          <w:rFonts w:cstheme="minorHAnsi"/>
          <w:color w:val="C00000"/>
          <w:highlight w:val="yellow"/>
          <w:lang w:val="sr-Cyrl-RS"/>
        </w:rPr>
        <w:instrText>ADDIN CSL_CITATION { "citationItems" : [ { "id" : "ITEM-1", "itemData" : { "DOI" : "10.1016/J.RSER.2015.12.249", "ISSN" : "1364-0321", "abstract" : "In this review, the technologies and working principles of different materials used in supercapacitors are explained. The most important supercapacitor active materials are discussed from both research and application perspectives, together with brief explanations of their properties, such as specific surface area and capacitance values. A review of different supercapacitor electrolytes is given and their positive and negative features are discussed. Finally, cell configurations are considered, pointing out the advantages and drawbacks of each configuration.", "author" : [ { "dropping-particle" : "", "family" : "Gonz\u00e1lez", "given" : "Ander", "non-dropping-particle" : "", "parse-names" : false, "suffix" : "" }, { "dropping-particle" : "", "family" : "Goikolea", "given" : "Eider", "non-dropping-particle" : "", "parse-names" : false, "suffix" : "" }, { "dropping-particle" : "", "family" : "Barrena", "given" : "Jon Andoni", "non-dropping-particle" : "", "parse-names" : false, "suffix" : "" }, { "dropping-particle" : "", "family" : "Mysyk", "given" : "Roman", "non-dropping-particle" : "", "parse-names" : false, "suffix" : "" } ], "container-title" : "Renewable and Sustainable Energy Reviews", "id" : "ITEM-1", "issued" : { "date-parts" : [ [ "2016", "5", "1" ] ] }, "page" : "1189-1206", "publisher" : "Pergamon", "title" : "Review on supercapacitors: Technologies and materials", "type" : "article-journal", "volume" : "58" }, "uris" : [ "http://www.mendeley.com/documents/?uuid=1fa96204-bda0-3e04-8c7f-a758a1dd939f" ] }, { "id" : "ITEM-2", "itemData" : { "DOI" : "10.1038/nmat2297", "ISSN" : "1476-1122", "abstract" : "Materials for electrochemical capacitors", "author" : [ { "dropping-particle" : "", "family" : "Simon", "given" : "Patrice", "non-dropping-particle" : "", "parse-names" : false, "suffix" : "" }, { "dropping-particle" : "", "family" : "Gogotsi", "given" : "Yury", "non-dropping-particle" : "", "parse-names" : false, "suffix" : "" } ], "container-title" : "Nature Materials", "id" : "ITEM-2", "issue" : "11", "issued" : { "date-parts" : [ [ "2008", "11", "1" ] ] }, "page" : "845-854", "publisher" : "Nature Publishing Group", "title" : "Materials for electrochemical capacitors", "type" : "article-journal", "volume" : "7" }, "uris" : [ "http://www.mendeley.com/documents/?uuid=d5509753-842e-32bd-ade9-681aaeb0658d" ] } ], "mendeley" : { "formattedCitation" : "&lt;span style=\"baseline\"&gt;[&lt;span style=\"baseline\"&gt;1&lt;/span&gt;,&lt;span style=\"baseline\"&gt;27&lt;/span&gt;]&lt;/span&gt;", "plainTextFormattedCitation" : "[1,27]", "previouslyFormattedCitation" : "&lt;span style=\"baseline\"&gt;[&lt;span style=\"baseline\"&gt;1&lt;/span&gt;,&lt;span style=\"baseline\"&gt;27&lt;/span&gt;]&lt;/span&gt;" }, "properties" : { "noteIndex" : 0 }, "schema" : "https://github.com/citation-style-language/schema/raw/master/csl-citation.json" }</w:instrText>
      </w:r>
      <w:r w:rsidRPr="008A1D46">
        <w:rPr>
          <w:rFonts w:cstheme="minorHAnsi"/>
          <w:color w:val="C00000"/>
          <w:highlight w:val="yellow"/>
          <w:lang w:val="sr-Cyrl-RS"/>
        </w:rPr>
        <w:fldChar w:fldCharType="separate"/>
      </w:r>
      <w:r w:rsidRPr="008A1D46">
        <w:rPr>
          <w:rFonts w:cstheme="minorHAnsi"/>
          <w:noProof/>
          <w:color w:val="C00000"/>
          <w:highlight w:val="yellow"/>
          <w:lang w:val="sr-Cyrl-RS"/>
        </w:rPr>
        <w:t>[1,27]</w:t>
      </w:r>
      <w:r w:rsidRPr="008A1D46">
        <w:rPr>
          <w:rFonts w:cstheme="minorHAnsi"/>
          <w:color w:val="C00000"/>
          <w:highlight w:val="yellow"/>
          <w:lang w:val="sr-Cyrl-RS"/>
        </w:rPr>
        <w:fldChar w:fldCharType="end"/>
      </w:r>
      <w:r w:rsidRPr="008A1D46">
        <w:rPr>
          <w:rFonts w:cstheme="minorHAnsi"/>
          <w:color w:val="C00000"/>
          <w:highlight w:val="yellow"/>
          <w:lang w:val="sr-Cyrl-RS"/>
        </w:rPr>
        <w:t>.</w:t>
      </w:r>
    </w:p>
    <w:p w14:paraId="7595ECC5" w14:textId="610A2F26" w:rsidR="008A1D46" w:rsidRPr="008A1D46" w:rsidRDefault="008A1D46" w:rsidP="00EF5C9C">
      <w:pPr>
        <w:spacing w:line="240" w:lineRule="auto"/>
        <w:rPr>
          <w:color w:val="C00000"/>
          <w:lang w:val="sr-Cyrl-RS"/>
        </w:rPr>
      </w:pPr>
    </w:p>
    <w:p w14:paraId="20CD264D" w14:textId="56278E19" w:rsidR="00851EAA" w:rsidRDefault="008A1D46" w:rsidP="00EF5C9C">
      <w:pPr>
        <w:spacing w:line="240" w:lineRule="auto"/>
        <w:rPr>
          <w:color w:val="C00000"/>
          <w:lang w:val="sr-Cyrl-RS"/>
        </w:rPr>
      </w:pPr>
      <w:r w:rsidRPr="008A1D46">
        <w:rPr>
          <w:color w:val="C00000"/>
          <w:lang w:val="sr-Cyrl-RS"/>
        </w:rPr>
        <w:t>Када је у питању реченица у линији 571 (коригованог текста)</w:t>
      </w:r>
      <w:r w:rsidR="00851EAA">
        <w:rPr>
          <w:color w:val="C00000"/>
          <w:lang w:val="sr-Cyrl-RS"/>
        </w:rPr>
        <w:t>,</w:t>
      </w:r>
      <w:r w:rsidRPr="008A1D46">
        <w:rPr>
          <w:color w:val="C00000"/>
          <w:lang w:val="sr-Cyrl-RS"/>
        </w:rPr>
        <w:t xml:space="preserve"> </w:t>
      </w:r>
      <w:r w:rsidR="00851EAA">
        <w:rPr>
          <w:color w:val="C00000"/>
          <w:lang w:val="sr-Cyrl-RS"/>
        </w:rPr>
        <w:t xml:space="preserve">ознака </w:t>
      </w:r>
      <w:r w:rsidRPr="008A1D46">
        <w:rPr>
          <w:color w:val="C00000"/>
          <w:lang w:val="sr-Cyrl-RS"/>
        </w:rPr>
        <w:t xml:space="preserve">К </w:t>
      </w:r>
      <w:r w:rsidR="00851EAA">
        <w:rPr>
          <w:color w:val="C00000"/>
          <w:lang w:val="sr-Cyrl-RS"/>
        </w:rPr>
        <w:t xml:space="preserve">је употребљена за било који једновалентни катјон, међутим јасно је да ствара забуну са ознаком за калијум. Уместо ове ознаке уведена је ознака </w:t>
      </w:r>
      <w:r w:rsidR="00851EAA">
        <w:rPr>
          <w:color w:val="C00000"/>
          <w:lang w:val="en-US"/>
        </w:rPr>
        <w:t xml:space="preserve">X, </w:t>
      </w:r>
      <w:r w:rsidR="00851EAA">
        <w:rPr>
          <w:color w:val="C00000"/>
          <w:lang w:val="sr-Cyrl-RS"/>
        </w:rPr>
        <w:t xml:space="preserve">тако да сада овај део текста гласи: </w:t>
      </w:r>
    </w:p>
    <w:p w14:paraId="57DD627C" w14:textId="321A01BC" w:rsidR="00851EAA" w:rsidRPr="00F84497" w:rsidRDefault="00851EAA" w:rsidP="00851EAA">
      <w:pPr>
        <w:spacing w:after="75" w:line="240" w:lineRule="auto"/>
        <w:jc w:val="both"/>
        <w:rPr>
          <w:rFonts w:ascii="Calibri" w:eastAsia="Calibri" w:hAnsi="Calibri" w:cs="Calibri"/>
          <w:color w:val="C00000"/>
        </w:rPr>
      </w:pPr>
      <w:r w:rsidRPr="00851EAA">
        <w:rPr>
          <w:rFonts w:ascii="Calibri" w:eastAsia="Calibri" w:hAnsi="Calibri" w:cs="Calibri"/>
          <w:lang w:val="en-GB"/>
        </w:rPr>
        <w:tab/>
      </w:r>
      <w:r w:rsidRPr="00F84497">
        <w:rPr>
          <w:rFonts w:ascii="Calibri" w:eastAsia="Calibri" w:hAnsi="Calibri" w:cs="Calibri"/>
          <w:color w:val="C00000"/>
          <w:lang w:val="en-GB"/>
        </w:rPr>
        <w:t>MnO</w:t>
      </w:r>
      <w:r w:rsidRPr="00F84497">
        <w:rPr>
          <w:rFonts w:ascii="Calibri" w:eastAsia="Calibri" w:hAnsi="Calibri" w:cs="Calibri"/>
          <w:i/>
          <w:color w:val="C00000"/>
          <w:vertAlign w:val="subscript"/>
          <w:lang w:val="en-GB"/>
        </w:rPr>
        <w:t>x</w:t>
      </w:r>
      <w:r w:rsidR="00F84497" w:rsidRPr="00F84497">
        <w:rPr>
          <w:rFonts w:ascii="Calibri" w:eastAsia="Calibri" w:hAnsi="Calibri" w:cs="Calibri"/>
          <w:color w:val="C00000"/>
          <w:lang w:val="en-GB"/>
        </w:rPr>
        <w:t>(OX</w:t>
      </w:r>
      <w:r w:rsidRPr="00F84497">
        <w:rPr>
          <w:rFonts w:ascii="Calibri" w:eastAsia="Calibri" w:hAnsi="Calibri" w:cs="Calibri"/>
          <w:color w:val="C00000"/>
          <w:lang w:val="en-GB"/>
        </w:rPr>
        <w:t>)</w:t>
      </w:r>
      <w:r w:rsidRPr="00F84497">
        <w:rPr>
          <w:rFonts w:ascii="Calibri" w:eastAsia="Calibri" w:hAnsi="Calibri" w:cs="Calibri"/>
          <w:i/>
          <w:color w:val="C00000"/>
          <w:vertAlign w:val="subscript"/>
          <w:lang w:val="en-GB"/>
        </w:rPr>
        <w:t>y</w:t>
      </w:r>
      <w:r w:rsidRPr="00F84497">
        <w:rPr>
          <w:rFonts w:ascii="Calibri" w:eastAsia="Calibri" w:hAnsi="Calibri" w:cs="Calibri"/>
          <w:color w:val="C00000"/>
          <w:lang w:val="en-GB"/>
        </w:rPr>
        <w:t xml:space="preserve"> +</w:t>
      </w:r>
      <w:r w:rsidRPr="00F84497">
        <w:rPr>
          <w:rFonts w:ascii="Symbol" w:eastAsia="Calibri" w:hAnsi="Symbol" w:cs="Calibri"/>
          <w:i/>
          <w:color w:val="C00000"/>
          <w:lang w:val="en-GB"/>
        </w:rPr>
        <w:t></w:t>
      </w:r>
      <w:r w:rsidRPr="00F84497">
        <w:rPr>
          <w:rFonts w:ascii="Calibri" w:eastAsia="Calibri" w:hAnsi="Calibri" w:cs="Calibri"/>
          <w:color w:val="C00000"/>
          <w:lang w:val="en-US"/>
        </w:rPr>
        <w:t>X</w:t>
      </w:r>
      <w:r w:rsidRPr="00F84497">
        <w:rPr>
          <w:rFonts w:ascii="Calibri" w:eastAsia="Calibri" w:hAnsi="Calibri" w:cs="Calibri"/>
          <w:color w:val="C00000"/>
          <w:vertAlign w:val="superscript"/>
          <w:lang w:val="en-GB"/>
        </w:rPr>
        <w:t>+</w:t>
      </w:r>
      <w:r w:rsidRPr="00F84497">
        <w:rPr>
          <w:rFonts w:ascii="Calibri" w:eastAsia="Calibri" w:hAnsi="Calibri" w:cs="Calibri"/>
          <w:color w:val="C00000"/>
          <w:lang w:val="en-GB"/>
        </w:rPr>
        <w:t xml:space="preserve"> + </w:t>
      </w:r>
      <w:r w:rsidRPr="00F84497">
        <w:rPr>
          <w:rFonts w:ascii="Symbol" w:eastAsia="Calibri" w:hAnsi="Symbol" w:cs="Calibri"/>
          <w:i/>
          <w:color w:val="C00000"/>
          <w:lang w:val="en-GB"/>
        </w:rPr>
        <w:t></w:t>
      </w:r>
      <w:r w:rsidRPr="00F84497">
        <w:rPr>
          <w:rFonts w:ascii="Calibri" w:eastAsia="Calibri" w:hAnsi="Calibri" w:cs="Calibri"/>
          <w:color w:val="C00000"/>
          <w:lang w:val="en-GB"/>
        </w:rPr>
        <w:t>e</w:t>
      </w:r>
      <w:r w:rsidRPr="00F84497">
        <w:rPr>
          <w:rFonts w:ascii="Calibri" w:eastAsia="Calibri" w:hAnsi="Calibri" w:cs="Calibri"/>
          <w:color w:val="C00000"/>
          <w:vertAlign w:val="superscript"/>
          <w:lang w:val="en-GB"/>
        </w:rPr>
        <w:t>-</w:t>
      </w:r>
      <w:r w:rsidRPr="00F84497">
        <w:rPr>
          <w:rFonts w:ascii="Calibri" w:eastAsia="Calibri" w:hAnsi="Calibri" w:cs="Calibri"/>
          <w:color w:val="C00000"/>
          <w:lang w:val="en-GB"/>
        </w:rPr>
        <w:t xml:space="preserve"> </w:t>
      </w:r>
      <w:r w:rsidRPr="00F84497">
        <w:rPr>
          <w:rFonts w:ascii="Calibri" w:eastAsia="Calibri" w:hAnsi="Calibri" w:cs="Calibri"/>
          <w:color w:val="C00000"/>
          <w:lang w:val="en-GB"/>
        </w:rPr>
        <w:sym w:font="Symbol" w:char="F0AB"/>
      </w:r>
      <w:r w:rsidRPr="00F84497">
        <w:rPr>
          <w:rFonts w:ascii="Calibri" w:eastAsia="Calibri" w:hAnsi="Calibri" w:cs="Calibri"/>
          <w:color w:val="C00000"/>
          <w:lang w:val="en-GB"/>
        </w:rPr>
        <w:t xml:space="preserve"> MnO</w:t>
      </w:r>
      <w:r w:rsidRPr="00F84497">
        <w:rPr>
          <w:rFonts w:ascii="Calibri" w:eastAsia="Calibri" w:hAnsi="Calibri" w:cs="Calibri"/>
          <w:i/>
          <w:color w:val="C00000"/>
          <w:vertAlign w:val="subscript"/>
          <w:lang w:val="en-GB"/>
        </w:rPr>
        <w:t>x</w:t>
      </w:r>
      <w:r w:rsidRPr="00F84497">
        <w:rPr>
          <w:rFonts w:ascii="Calibri" w:eastAsia="Calibri" w:hAnsi="Calibri" w:cs="Calibri"/>
          <w:color w:val="C00000"/>
          <w:vertAlign w:val="subscript"/>
          <w:lang w:val="en-GB"/>
        </w:rPr>
        <w:t>-</w:t>
      </w:r>
      <w:r w:rsidRPr="00F84497">
        <w:rPr>
          <w:rFonts w:ascii="Calibri" w:eastAsia="Calibri" w:hAnsi="Calibri" w:cs="Calibri"/>
          <w:i/>
          <w:color w:val="C00000"/>
          <w:vertAlign w:val="subscript"/>
          <w:lang w:val="en-GB"/>
        </w:rPr>
        <w:t>y</w:t>
      </w:r>
      <w:r w:rsidRPr="00F84497">
        <w:rPr>
          <w:rFonts w:ascii="Calibri" w:eastAsia="Calibri" w:hAnsi="Calibri" w:cs="Calibri"/>
          <w:color w:val="C00000"/>
          <w:lang w:val="en-GB"/>
        </w:rPr>
        <w:t>(OX)</w:t>
      </w:r>
      <w:r w:rsidRPr="00F84497">
        <w:rPr>
          <w:rFonts w:ascii="Calibri" w:eastAsia="Calibri" w:hAnsi="Calibri" w:cs="Calibri"/>
          <w:i/>
          <w:color w:val="C00000"/>
          <w:vertAlign w:val="subscript"/>
          <w:lang w:val="en-GB"/>
        </w:rPr>
        <w:t>y</w:t>
      </w:r>
      <w:r w:rsidRPr="00F84497">
        <w:rPr>
          <w:rFonts w:ascii="Calibri" w:eastAsia="Calibri" w:hAnsi="Calibri" w:cs="Calibri"/>
          <w:color w:val="C00000"/>
          <w:vertAlign w:val="subscript"/>
          <w:lang w:val="en-GB"/>
        </w:rPr>
        <w:t>+</w:t>
      </w:r>
      <w:r w:rsidRPr="00F84497">
        <w:rPr>
          <w:rFonts w:ascii="Symbol" w:eastAsia="Calibri" w:hAnsi="Symbol" w:cs="Calibri"/>
          <w:i/>
          <w:color w:val="C00000"/>
          <w:vertAlign w:val="subscript"/>
          <w:lang w:val="en-GB"/>
        </w:rPr>
        <w:t></w:t>
      </w:r>
      <w:r w:rsidRPr="00F84497">
        <w:rPr>
          <w:rFonts w:ascii="Calibri" w:eastAsia="Calibri" w:hAnsi="Calibri" w:cs="Calibri"/>
          <w:color w:val="C00000"/>
          <w:lang w:val="en-GB"/>
        </w:rPr>
        <w:t xml:space="preserve"> </w:t>
      </w:r>
      <w:r w:rsidRPr="00F84497">
        <w:rPr>
          <w:rFonts w:ascii="Calibri" w:eastAsia="Calibri" w:hAnsi="Calibri" w:cs="Calibri"/>
          <w:color w:val="C00000"/>
          <w:lang w:val="sr-Cyrl-RS"/>
        </w:rPr>
        <w:t xml:space="preserve">, </w:t>
      </w:r>
      <w:r w:rsidRPr="00F84497">
        <w:rPr>
          <w:rFonts w:ascii="Calibri" w:eastAsia="Calibri" w:hAnsi="Calibri" w:cs="Calibri"/>
          <w:color w:val="C00000"/>
          <w:lang w:val="en-GB"/>
        </w:rPr>
        <w:tab/>
      </w:r>
      <w:r w:rsidRPr="00F84497">
        <w:rPr>
          <w:rFonts w:ascii="Calibri" w:eastAsia="Calibri" w:hAnsi="Calibri" w:cs="Calibri"/>
          <w:color w:val="C00000"/>
          <w:highlight w:val="yellow"/>
          <w:lang w:val="en-GB"/>
        </w:rPr>
        <w:t xml:space="preserve">0 ≤ </w:t>
      </w:r>
      <w:r w:rsidRPr="00F84497">
        <w:rPr>
          <w:rFonts w:ascii="Calibri" w:eastAsia="Calibri" w:hAnsi="Calibri" w:cs="Calibri"/>
          <w:i/>
          <w:color w:val="C00000"/>
          <w:highlight w:val="yellow"/>
          <w:lang w:val="en-GB"/>
        </w:rPr>
        <w:t>y</w:t>
      </w:r>
      <w:r w:rsidRPr="00F84497">
        <w:rPr>
          <w:rFonts w:ascii="Calibri" w:eastAsia="Calibri" w:hAnsi="Calibri" w:cs="Calibri"/>
          <w:color w:val="C00000"/>
          <w:highlight w:val="yellow"/>
          <w:lang w:val="en-GB"/>
        </w:rPr>
        <w:t xml:space="preserve"> ≤ x</w:t>
      </w:r>
      <w:r w:rsidRPr="00F84497">
        <w:rPr>
          <w:rFonts w:ascii="Calibri" w:eastAsia="Calibri" w:hAnsi="Calibri" w:cs="Calibri"/>
          <w:i/>
          <w:color w:val="C00000"/>
          <w:highlight w:val="yellow"/>
          <w:lang w:val="en-GB"/>
        </w:rPr>
        <w:t xml:space="preserve">,  </w:t>
      </w:r>
      <w:r w:rsidRPr="00F84497">
        <w:rPr>
          <w:rFonts w:ascii="Calibri" w:eastAsia="Calibri" w:hAnsi="Calibri" w:cs="Calibri"/>
          <w:color w:val="C00000"/>
          <w:highlight w:val="yellow"/>
          <w:lang w:val="en-GB"/>
        </w:rPr>
        <w:t xml:space="preserve">0 ≤ </w:t>
      </w:r>
      <w:r w:rsidRPr="00F84497">
        <w:rPr>
          <w:rFonts w:ascii="Symbol" w:eastAsia="Calibri" w:hAnsi="Symbol" w:cs="Calibri"/>
          <w:i/>
          <w:color w:val="C00000"/>
          <w:highlight w:val="yellow"/>
          <w:lang w:val="en-GB"/>
        </w:rPr>
        <w:t></w:t>
      </w:r>
      <w:r w:rsidRPr="00F84497">
        <w:rPr>
          <w:rFonts w:ascii="Calibri" w:eastAsia="Calibri" w:hAnsi="Calibri" w:cs="Calibri"/>
          <w:color w:val="C00000"/>
          <w:highlight w:val="yellow"/>
          <w:lang w:val="en-GB"/>
        </w:rPr>
        <w:t xml:space="preserve">  ≤ </w:t>
      </w:r>
      <w:r w:rsidRPr="00F84497">
        <w:rPr>
          <w:rFonts w:ascii="Calibri" w:eastAsia="Calibri" w:hAnsi="Calibri" w:cs="Calibri"/>
          <w:i/>
          <w:color w:val="C00000"/>
          <w:highlight w:val="yellow"/>
          <w:lang w:val="en-GB"/>
        </w:rPr>
        <w:t>x+y</w:t>
      </w:r>
      <w:r w:rsidRPr="00F84497">
        <w:rPr>
          <w:rFonts w:ascii="Calibri" w:eastAsia="Calibri" w:hAnsi="Calibri" w:cs="Calibri"/>
          <w:color w:val="C00000"/>
          <w:lang w:val="en-GB"/>
        </w:rPr>
        <w:tab/>
      </w:r>
      <w:r w:rsidRPr="00F84497">
        <w:rPr>
          <w:rFonts w:ascii="Calibri" w:eastAsia="Calibri" w:hAnsi="Calibri" w:cs="Calibri"/>
          <w:color w:val="C00000"/>
          <w:lang w:val="en-GB"/>
        </w:rPr>
        <w:tab/>
      </w:r>
      <w:r w:rsidRPr="00F84497">
        <w:rPr>
          <w:rFonts w:ascii="Calibri" w:eastAsia="Calibri" w:hAnsi="Calibri" w:cs="Calibri"/>
          <w:color w:val="C00000"/>
          <w:lang w:val="en-GB"/>
        </w:rPr>
        <w:tab/>
        <w:t>(5)</w:t>
      </w:r>
    </w:p>
    <w:p w14:paraId="1C434AA4" w14:textId="63180417" w:rsidR="00851EAA" w:rsidRPr="00F84497" w:rsidRDefault="00851EAA" w:rsidP="00851EAA">
      <w:pPr>
        <w:spacing w:line="240" w:lineRule="auto"/>
        <w:rPr>
          <w:color w:val="C00000"/>
          <w:lang w:val="sr-Cyrl-RS"/>
        </w:rPr>
      </w:pPr>
      <w:r w:rsidRPr="00F84497">
        <w:rPr>
          <w:rFonts w:ascii="Calibri" w:eastAsia="Calibri" w:hAnsi="Calibri" w:cs="Calibri"/>
          <w:color w:val="C00000"/>
        </w:rPr>
        <w:t xml:space="preserve">где </w:t>
      </w:r>
      <w:r w:rsidRPr="00F84497">
        <w:rPr>
          <w:rFonts w:ascii="Calibri" w:eastAsia="Calibri" w:hAnsi="Calibri" w:cs="Calibri"/>
          <w:color w:val="C00000"/>
          <w:lang w:val="sr-Cyrl-RS"/>
        </w:rPr>
        <w:t xml:space="preserve">је </w:t>
      </w:r>
      <w:r w:rsidRPr="00F84497">
        <w:rPr>
          <w:rFonts w:ascii="Calibri" w:eastAsia="Calibri" w:hAnsi="Calibri" w:cs="Calibri"/>
          <w:color w:val="C00000"/>
          <w:lang w:val="en-US"/>
        </w:rPr>
        <w:t>X</w:t>
      </w:r>
      <w:r w:rsidRPr="00F84497">
        <w:rPr>
          <w:rFonts w:ascii="Calibri" w:eastAsia="Calibri" w:hAnsi="Calibri" w:cs="Calibri"/>
          <w:color w:val="C00000"/>
          <w:vertAlign w:val="superscript"/>
          <w:lang w:val="sr-Cyrl-RS"/>
        </w:rPr>
        <w:t>+</w:t>
      </w:r>
      <w:r w:rsidRPr="00F84497">
        <w:rPr>
          <w:rFonts w:ascii="Calibri" w:eastAsia="Calibri" w:hAnsi="Calibri" w:cs="Calibri"/>
          <w:color w:val="C00000"/>
          <w:lang w:val="sr-Cyrl-RS"/>
        </w:rPr>
        <w:t xml:space="preserve"> протон или катјон неког једновалентног метала (Na, K, Li,</w:t>
      </w:r>
      <w:r w:rsidRPr="00F84497">
        <w:rPr>
          <w:rFonts w:ascii="Calibri" w:eastAsia="Calibri" w:hAnsi="Calibri" w:cs="Calibri"/>
          <w:color w:val="C00000"/>
          <w:vertAlign w:val="superscript"/>
          <w:lang w:val="sr-Cyrl-RS"/>
        </w:rPr>
        <w:t xml:space="preserve"> </w:t>
      </w:r>
      <w:r w:rsidRPr="00F84497">
        <w:rPr>
          <w:rFonts w:ascii="Calibri" w:eastAsia="Calibri" w:hAnsi="Calibri" w:cs="Calibri"/>
          <w:color w:val="C00000"/>
          <w:lang w:val="sr-Cyrl-RS"/>
        </w:rPr>
        <w:t xml:space="preserve">…), </w:t>
      </w:r>
      <w:r w:rsidRPr="00F84497">
        <w:rPr>
          <w:rFonts w:ascii="Calibri" w:eastAsia="Calibri" w:hAnsi="Calibri" w:cs="Calibri"/>
          <w:color w:val="C00000"/>
          <w:lang w:val="en-GB"/>
        </w:rPr>
        <w:t>MnO</w:t>
      </w:r>
      <w:r w:rsidRPr="00F84497">
        <w:rPr>
          <w:rFonts w:ascii="Calibri" w:eastAsia="Calibri" w:hAnsi="Calibri" w:cs="Calibri"/>
          <w:i/>
          <w:color w:val="C00000"/>
          <w:vertAlign w:val="subscript"/>
          <w:lang w:val="en-GB"/>
        </w:rPr>
        <w:t>x</w:t>
      </w:r>
      <w:r w:rsidRPr="00F84497">
        <w:rPr>
          <w:rFonts w:ascii="Calibri" w:eastAsia="Calibri" w:hAnsi="Calibri" w:cs="Calibri"/>
          <w:color w:val="C00000"/>
          <w:lang w:val="en-GB"/>
        </w:rPr>
        <w:t>(OX)</w:t>
      </w:r>
      <w:r w:rsidRPr="00F84497">
        <w:rPr>
          <w:rFonts w:ascii="Calibri" w:eastAsia="Calibri" w:hAnsi="Calibri" w:cs="Calibri"/>
          <w:i/>
          <w:color w:val="C00000"/>
          <w:vertAlign w:val="subscript"/>
          <w:lang w:val="en-GB"/>
        </w:rPr>
        <w:t>y</w:t>
      </w:r>
      <w:r w:rsidRPr="00F84497">
        <w:rPr>
          <w:rFonts w:ascii="Calibri" w:eastAsia="Calibri" w:hAnsi="Calibri" w:cs="Calibri"/>
          <w:color w:val="C00000"/>
          <w:lang w:val="sr-Cyrl-RS"/>
        </w:rPr>
        <w:t xml:space="preserve"> више, а </w:t>
      </w:r>
      <w:bookmarkStart w:id="0" w:name="_Hlk506293250"/>
      <w:r w:rsidRPr="00F84497">
        <w:rPr>
          <w:rFonts w:ascii="Calibri" w:eastAsia="Calibri" w:hAnsi="Calibri" w:cs="Calibri"/>
          <w:color w:val="C00000"/>
          <w:lang w:val="en-GB"/>
        </w:rPr>
        <w:t>MnO</w:t>
      </w:r>
      <w:bookmarkEnd w:id="0"/>
      <w:r w:rsidRPr="00F84497">
        <w:rPr>
          <w:rFonts w:ascii="Calibri" w:eastAsia="Calibri" w:hAnsi="Calibri" w:cs="Calibri"/>
          <w:i/>
          <w:color w:val="C00000"/>
          <w:vertAlign w:val="subscript"/>
          <w:lang w:val="en-GB"/>
        </w:rPr>
        <w:t>x</w:t>
      </w:r>
      <w:r w:rsidRPr="00F84497">
        <w:rPr>
          <w:rFonts w:ascii="Calibri" w:eastAsia="Calibri" w:hAnsi="Calibri" w:cs="Calibri"/>
          <w:color w:val="C00000"/>
          <w:vertAlign w:val="subscript"/>
        </w:rPr>
        <w:noBreakHyphen/>
      </w:r>
      <w:r w:rsidRPr="00F84497">
        <w:rPr>
          <w:rFonts w:ascii="Calibri" w:eastAsia="Calibri" w:hAnsi="Calibri" w:cs="Calibri"/>
          <w:i/>
          <w:color w:val="C00000"/>
          <w:vertAlign w:val="subscript"/>
          <w:lang w:val="en-GB"/>
        </w:rPr>
        <w:t>y</w:t>
      </w:r>
      <w:r w:rsidRPr="00F84497">
        <w:rPr>
          <w:rFonts w:ascii="Calibri" w:eastAsia="Calibri" w:hAnsi="Calibri" w:cs="Calibri"/>
          <w:color w:val="C00000"/>
          <w:lang w:val="en-GB"/>
        </w:rPr>
        <w:t>(OX)</w:t>
      </w:r>
      <w:r w:rsidRPr="00F84497">
        <w:rPr>
          <w:rFonts w:ascii="Calibri" w:eastAsia="Calibri" w:hAnsi="Calibri" w:cs="Calibri"/>
          <w:i/>
          <w:color w:val="C00000"/>
          <w:vertAlign w:val="subscript"/>
          <w:lang w:val="en-GB"/>
        </w:rPr>
        <w:t>y</w:t>
      </w:r>
      <w:r w:rsidRPr="00F84497">
        <w:rPr>
          <w:rFonts w:ascii="Calibri" w:eastAsia="Calibri" w:hAnsi="Calibri" w:cs="Calibri"/>
          <w:color w:val="C00000"/>
          <w:vertAlign w:val="subscript"/>
          <w:lang w:val="en-GB"/>
        </w:rPr>
        <w:t>+</w:t>
      </w:r>
      <w:r w:rsidRPr="00F84497">
        <w:rPr>
          <w:rFonts w:ascii="Symbol" w:eastAsia="Calibri" w:hAnsi="Symbol" w:cs="Calibri"/>
          <w:i/>
          <w:color w:val="C00000"/>
          <w:vertAlign w:val="subscript"/>
          <w:lang w:val="en-GB"/>
        </w:rPr>
        <w:t></w:t>
      </w:r>
      <w:r w:rsidRPr="00F84497">
        <w:rPr>
          <w:rFonts w:ascii="Symbol" w:eastAsia="Calibri" w:hAnsi="Symbol" w:cs="Calibri"/>
          <w:color w:val="C00000"/>
          <w:lang w:val="sr-Cyrl-RS"/>
        </w:rPr>
        <w:t></w:t>
      </w:r>
      <w:r w:rsidRPr="00F84497">
        <w:rPr>
          <w:rFonts w:ascii="Symbol" w:eastAsia="Calibri" w:hAnsi="Symbol" w:cs="Calibri"/>
          <w:color w:val="C00000"/>
          <w:lang w:val="sr-Cyrl-RS"/>
        </w:rPr>
        <w:t></w:t>
      </w:r>
      <w:r w:rsidRPr="00F84497">
        <w:rPr>
          <w:rFonts w:ascii="Calibri" w:eastAsia="Calibri" w:hAnsi="Calibri" w:cs="Calibri"/>
          <w:color w:val="C00000"/>
          <w:lang w:val="sr-Cyrl-RS"/>
        </w:rPr>
        <w:t>ниже оксидационо стање мангана у оксиду</w:t>
      </w:r>
      <w:bookmarkStart w:id="1" w:name="_GoBack"/>
      <w:bookmarkEnd w:id="1"/>
    </w:p>
    <w:p w14:paraId="5EBFA0E4" w14:textId="4CC44BC9" w:rsidR="008A1D46" w:rsidRDefault="008A1D46" w:rsidP="00EF5C9C">
      <w:pPr>
        <w:spacing w:line="240" w:lineRule="auto"/>
        <w:rPr>
          <w:color w:val="C00000"/>
          <w:lang w:val="sr-Cyrl-RS"/>
        </w:rPr>
      </w:pPr>
    </w:p>
    <w:p w14:paraId="0A358653" w14:textId="1D234C88" w:rsidR="008A1D46" w:rsidRPr="008A1D46" w:rsidRDefault="008A1D46" w:rsidP="00EF5C9C">
      <w:pPr>
        <w:spacing w:line="240" w:lineRule="auto"/>
        <w:rPr>
          <w:color w:val="C00000"/>
          <w:lang w:val="sr-Cyrl-RS"/>
        </w:rPr>
      </w:pPr>
      <w:r>
        <w:rPr>
          <w:color w:val="C00000"/>
          <w:lang w:val="sr-Cyrl-RS"/>
        </w:rPr>
        <w:t>Остали текст је проверен и нема сличног коришћења термина протон</w:t>
      </w:r>
      <w:r w:rsidR="003054DB">
        <w:rPr>
          <w:color w:val="C00000"/>
          <w:lang w:val="sr-Cyrl-RS"/>
        </w:rPr>
        <w:t>.</w:t>
      </w:r>
    </w:p>
    <w:p w14:paraId="79AB13D1" w14:textId="12C0C4AC" w:rsidR="00805616" w:rsidRPr="00805616" w:rsidRDefault="00805616" w:rsidP="00EF5C9C">
      <w:pPr>
        <w:spacing w:line="240" w:lineRule="auto"/>
      </w:pPr>
      <w:r w:rsidRPr="00805616">
        <w:t>5. Проверити да ли је референца 12 коректно наведена (Science (80- ). 2006; 313(5794): 1760-1763.)</w:t>
      </w:r>
    </w:p>
    <w:p w14:paraId="08F80492" w14:textId="6006C4E4" w:rsidR="00805616" w:rsidRPr="008C2538" w:rsidRDefault="003054DB" w:rsidP="00EF5C9C">
      <w:pPr>
        <w:spacing w:line="240" w:lineRule="auto"/>
        <w:rPr>
          <w:color w:val="C00000"/>
          <w:lang w:val="sr-Cyrl-RS"/>
        </w:rPr>
      </w:pPr>
      <w:r>
        <w:rPr>
          <w:color w:val="C00000"/>
          <w:lang w:val="sr-Cyrl-RS"/>
        </w:rPr>
        <w:t>Хвала на корекцији и сугестији</w:t>
      </w:r>
      <w:r w:rsidR="00EF5C9C">
        <w:rPr>
          <w:color w:val="C00000"/>
          <w:lang w:val="sr-Cyrl-RS"/>
        </w:rPr>
        <w:t>.</w:t>
      </w:r>
      <w:r w:rsidR="008C2538" w:rsidRPr="008C2538">
        <w:rPr>
          <w:color w:val="C00000"/>
          <w:lang w:val="sr-Cyrl-RS"/>
        </w:rPr>
        <w:t xml:space="preserve"> </w:t>
      </w:r>
      <w:r w:rsidR="00EF5C9C">
        <w:rPr>
          <w:color w:val="C00000"/>
          <w:lang w:val="sr-Cyrl-RS"/>
        </w:rPr>
        <w:t>К</w:t>
      </w:r>
      <w:r w:rsidR="008C2538" w:rsidRPr="008C2538">
        <w:rPr>
          <w:color w:val="C00000"/>
          <w:lang w:val="sr-Cyrl-RS"/>
        </w:rPr>
        <w:t>ориговано</w:t>
      </w:r>
      <w:r w:rsidR="00EF5C9C">
        <w:rPr>
          <w:color w:val="C00000"/>
          <w:lang w:val="sr-Cyrl-RS"/>
        </w:rPr>
        <w:t xml:space="preserve"> је</w:t>
      </w:r>
      <w:r w:rsidR="008C2538" w:rsidRPr="008C2538">
        <w:rPr>
          <w:color w:val="C00000"/>
          <w:lang w:val="sr-Cyrl-RS"/>
        </w:rPr>
        <w:t xml:space="preserve">, референца </w:t>
      </w:r>
      <w:r>
        <w:rPr>
          <w:color w:val="C00000"/>
          <w:lang w:val="sr-Cyrl-RS"/>
        </w:rPr>
        <w:t xml:space="preserve">12 </w:t>
      </w:r>
      <w:r w:rsidR="008C2538" w:rsidRPr="008C2538">
        <w:rPr>
          <w:color w:val="C00000"/>
          <w:lang w:val="sr-Cyrl-RS"/>
        </w:rPr>
        <w:t>сада гласи:</w:t>
      </w:r>
    </w:p>
    <w:p w14:paraId="43C65786" w14:textId="6B21C9DB" w:rsidR="008C2538" w:rsidRPr="008C2538" w:rsidRDefault="008C2538" w:rsidP="00EF5C9C">
      <w:pPr>
        <w:spacing w:line="240" w:lineRule="auto"/>
        <w:rPr>
          <w:color w:val="C00000"/>
          <w:lang w:val="sr-Cyrl-RS"/>
        </w:rPr>
      </w:pPr>
      <w:r w:rsidRPr="008C2538">
        <w:rPr>
          <w:color w:val="C00000"/>
          <w:lang w:val="sr-Cyrl-RS"/>
        </w:rPr>
        <w:t xml:space="preserve">Chmiola J, Yushin G, Gogotsi Y, Portet C, Simon P, Taberna PL. Anomalous increase in carbon capacitance at pore sizes less than 1 nanometer. </w:t>
      </w:r>
      <w:r w:rsidRPr="008C2538">
        <w:rPr>
          <w:i/>
          <w:color w:val="C00000"/>
          <w:lang w:val="sr-Cyrl-RS"/>
        </w:rPr>
        <w:t>Science</w:t>
      </w:r>
      <w:r w:rsidRPr="008C2538">
        <w:rPr>
          <w:color w:val="C00000"/>
          <w:lang w:val="sr-Cyrl-RS"/>
        </w:rPr>
        <w:t>. 2006; 313(5794): 1760-1763.</w:t>
      </w:r>
    </w:p>
    <w:p w14:paraId="4C7516C5" w14:textId="77777777" w:rsidR="008C2538" w:rsidRPr="00805616" w:rsidRDefault="008C2538" w:rsidP="00EF5C9C">
      <w:pPr>
        <w:spacing w:line="240" w:lineRule="auto"/>
        <w:rPr>
          <w:lang w:val="sr-Cyrl-RS"/>
        </w:rPr>
      </w:pPr>
    </w:p>
    <w:sectPr w:rsidR="008C2538" w:rsidRPr="008056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16"/>
    <w:rsid w:val="0004660C"/>
    <w:rsid w:val="00221141"/>
    <w:rsid w:val="00242F92"/>
    <w:rsid w:val="003054DB"/>
    <w:rsid w:val="006467F0"/>
    <w:rsid w:val="00720E6C"/>
    <w:rsid w:val="00805616"/>
    <w:rsid w:val="0085177F"/>
    <w:rsid w:val="00851EAA"/>
    <w:rsid w:val="008A1D46"/>
    <w:rsid w:val="008B7129"/>
    <w:rsid w:val="008C2538"/>
    <w:rsid w:val="008C5CF8"/>
    <w:rsid w:val="008F139C"/>
    <w:rsid w:val="0092125B"/>
    <w:rsid w:val="00A8400A"/>
    <w:rsid w:val="00C23F1A"/>
    <w:rsid w:val="00C65851"/>
    <w:rsid w:val="00CB2E09"/>
    <w:rsid w:val="00EF5C9C"/>
    <w:rsid w:val="00F8449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E0CA"/>
  <w15:docId w15:val="{D20BE24E-1A06-4D9B-9C4D-C65962C6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61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7F0"/>
    <w:pPr>
      <w:ind w:left="720"/>
      <w:contextualSpacing/>
    </w:pPr>
  </w:style>
  <w:style w:type="character" w:styleId="CommentReference">
    <w:name w:val="annotation reference"/>
    <w:basedOn w:val="DefaultParagraphFont"/>
    <w:uiPriority w:val="99"/>
    <w:semiHidden/>
    <w:unhideWhenUsed/>
    <w:rsid w:val="0092125B"/>
    <w:rPr>
      <w:sz w:val="16"/>
      <w:szCs w:val="16"/>
    </w:rPr>
  </w:style>
  <w:style w:type="paragraph" w:styleId="CommentText">
    <w:name w:val="annotation text"/>
    <w:basedOn w:val="Normal"/>
    <w:link w:val="CommentTextChar"/>
    <w:uiPriority w:val="99"/>
    <w:semiHidden/>
    <w:unhideWhenUsed/>
    <w:rsid w:val="0092125B"/>
    <w:pPr>
      <w:spacing w:line="240" w:lineRule="auto"/>
    </w:pPr>
    <w:rPr>
      <w:sz w:val="20"/>
      <w:szCs w:val="20"/>
    </w:rPr>
  </w:style>
  <w:style w:type="character" w:customStyle="1" w:styleId="CommentTextChar">
    <w:name w:val="Comment Text Char"/>
    <w:basedOn w:val="DefaultParagraphFont"/>
    <w:link w:val="CommentText"/>
    <w:uiPriority w:val="99"/>
    <w:semiHidden/>
    <w:rsid w:val="0092125B"/>
    <w:rPr>
      <w:sz w:val="20"/>
      <w:szCs w:val="20"/>
    </w:rPr>
  </w:style>
  <w:style w:type="paragraph" w:styleId="CommentSubject">
    <w:name w:val="annotation subject"/>
    <w:basedOn w:val="CommentText"/>
    <w:next w:val="CommentText"/>
    <w:link w:val="CommentSubjectChar"/>
    <w:uiPriority w:val="99"/>
    <w:semiHidden/>
    <w:unhideWhenUsed/>
    <w:rsid w:val="0092125B"/>
    <w:rPr>
      <w:b/>
      <w:bCs/>
    </w:rPr>
  </w:style>
  <w:style w:type="character" w:customStyle="1" w:styleId="CommentSubjectChar">
    <w:name w:val="Comment Subject Char"/>
    <w:basedOn w:val="CommentTextChar"/>
    <w:link w:val="CommentSubject"/>
    <w:uiPriority w:val="99"/>
    <w:semiHidden/>
    <w:rsid w:val="0092125B"/>
    <w:rPr>
      <w:b/>
      <w:bCs/>
      <w:sz w:val="20"/>
      <w:szCs w:val="20"/>
    </w:rPr>
  </w:style>
  <w:style w:type="paragraph" w:styleId="BalloonText">
    <w:name w:val="Balloon Text"/>
    <w:basedOn w:val="Normal"/>
    <w:link w:val="BalloonTextChar"/>
    <w:uiPriority w:val="99"/>
    <w:semiHidden/>
    <w:unhideWhenUsed/>
    <w:rsid w:val="00921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71568">
      <w:bodyDiv w:val="1"/>
      <w:marLeft w:val="0"/>
      <w:marRight w:val="0"/>
      <w:marTop w:val="0"/>
      <w:marBottom w:val="0"/>
      <w:divBdr>
        <w:top w:val="none" w:sz="0" w:space="0" w:color="auto"/>
        <w:left w:val="none" w:sz="0" w:space="0" w:color="auto"/>
        <w:bottom w:val="none" w:sz="0" w:space="0" w:color="auto"/>
        <w:right w:val="none" w:sz="0" w:space="0" w:color="auto"/>
      </w:divBdr>
    </w:div>
    <w:div w:id="943419505">
      <w:bodyDiv w:val="1"/>
      <w:marLeft w:val="0"/>
      <w:marRight w:val="0"/>
      <w:marTop w:val="0"/>
      <w:marBottom w:val="0"/>
      <w:divBdr>
        <w:top w:val="none" w:sz="0" w:space="0" w:color="auto"/>
        <w:left w:val="none" w:sz="0" w:space="0" w:color="auto"/>
        <w:bottom w:val="none" w:sz="0" w:space="0" w:color="auto"/>
        <w:right w:val="none" w:sz="0" w:space="0" w:color="auto"/>
      </w:divBdr>
    </w:div>
    <w:div w:id="1361977905">
      <w:bodyDiv w:val="1"/>
      <w:marLeft w:val="0"/>
      <w:marRight w:val="0"/>
      <w:marTop w:val="0"/>
      <w:marBottom w:val="0"/>
      <w:divBdr>
        <w:top w:val="none" w:sz="0" w:space="0" w:color="auto"/>
        <w:left w:val="none" w:sz="0" w:space="0" w:color="auto"/>
        <w:bottom w:val="none" w:sz="0" w:space="0" w:color="auto"/>
        <w:right w:val="none" w:sz="0" w:space="0" w:color="auto"/>
      </w:divBdr>
    </w:div>
    <w:div w:id="1716931992">
      <w:bodyDiv w:val="1"/>
      <w:marLeft w:val="0"/>
      <w:marRight w:val="0"/>
      <w:marTop w:val="0"/>
      <w:marBottom w:val="0"/>
      <w:divBdr>
        <w:top w:val="none" w:sz="0" w:space="0" w:color="auto"/>
        <w:left w:val="none" w:sz="0" w:space="0" w:color="auto"/>
        <w:bottom w:val="none" w:sz="0" w:space="0" w:color="auto"/>
        <w:right w:val="none" w:sz="0" w:space="0" w:color="auto"/>
      </w:divBdr>
    </w:div>
    <w:div w:id="1900557340">
      <w:bodyDiv w:val="1"/>
      <w:marLeft w:val="0"/>
      <w:marRight w:val="0"/>
      <w:marTop w:val="0"/>
      <w:marBottom w:val="0"/>
      <w:divBdr>
        <w:top w:val="none" w:sz="0" w:space="0" w:color="auto"/>
        <w:left w:val="none" w:sz="0" w:space="0" w:color="auto"/>
        <w:bottom w:val="none" w:sz="0" w:space="0" w:color="auto"/>
        <w:right w:val="none" w:sz="0" w:space="0" w:color="auto"/>
      </w:divBdr>
    </w:div>
    <w:div w:id="211859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5210</Words>
  <Characters>29697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Dekanski</dc:creator>
  <cp:lastModifiedBy>Aleksandar Dekanski</cp:lastModifiedBy>
  <cp:revision>2</cp:revision>
  <dcterms:created xsi:type="dcterms:W3CDTF">2018-07-02T10:58:00Z</dcterms:created>
  <dcterms:modified xsi:type="dcterms:W3CDTF">2018-07-02T10:58:00Z</dcterms:modified>
</cp:coreProperties>
</file>